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#120</w:t>
      </w:r>
      <w:r>
        <w:rPr>
          <w:sz w:val="22"/>
          <w:szCs w:val="22"/>
          <w:lang w:val="en-GB"/>
        </w:rPr>
        <w:t xml:space="preserve">           </w:t>
      </w:r>
      <w:r>
        <w:rPr>
          <w:rFonts w:eastAsia="宋体"/>
          <w:sz w:val="22"/>
          <w:szCs w:val="22"/>
          <w:lang w:val="en-GB" w:eastAsia="zh-CN"/>
        </w:rPr>
        <w:t xml:space="preserve">        </w:t>
      </w:r>
      <w:r>
        <w:rPr>
          <w:rFonts w:eastAsia="宋体"/>
          <w:sz w:val="22"/>
          <w:szCs w:val="22"/>
          <w:lang w:eastAsia="zh-CN"/>
        </w:rPr>
        <w:t xml:space="preserve">                                  </w:t>
      </w:r>
      <w:r>
        <w:rPr>
          <w:rFonts w:eastAsia="宋体" w:hint="eastAsia"/>
          <w:sz w:val="22"/>
          <w:szCs w:val="22"/>
          <w:lang w:eastAsia="zh-CN"/>
        </w:rPr>
        <w:t xml:space="preserve">   </w:t>
      </w:r>
      <w:r>
        <w:rPr>
          <w:sz w:val="22"/>
          <w:szCs w:val="22"/>
          <w:lang w:val="en-GB"/>
        </w:rPr>
        <w:t>R2-</w:t>
      </w:r>
      <w:r>
        <w:rPr>
          <w:rFonts w:eastAsiaTheme="minorEastAsia"/>
          <w:sz w:val="22"/>
          <w:szCs w:val="22"/>
          <w:lang w:val="en-GB" w:eastAsia="zh-CN"/>
        </w:rPr>
        <w:t>22</w:t>
      </w:r>
      <w:r>
        <w:rPr>
          <w:rFonts w:eastAsiaTheme="minorEastAsia" w:hint="eastAsia"/>
          <w:sz w:val="22"/>
          <w:szCs w:val="22"/>
          <w:lang w:val="en-GB" w:eastAsia="zh-CN"/>
        </w:rPr>
        <w:t>11279</w:t>
      </w:r>
      <w:r>
        <w:rPr>
          <w:rFonts w:eastAsiaTheme="minorEastAsia"/>
          <w:sz w:val="22"/>
          <w:szCs w:val="22"/>
          <w:lang w:val="en-GB" w:eastAsia="zh-CN"/>
        </w:rPr>
        <w:t xml:space="preserve">                                           </w:t>
      </w:r>
    </w:p>
    <w:p>
      <w:pPr>
        <w:pStyle w:val="a4"/>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Toulouse,</w:t>
      </w:r>
      <w:r>
        <w:rPr>
          <w:rFonts w:eastAsiaTheme="minorEastAsia" w:hint="eastAsia"/>
          <w:sz w:val="22"/>
          <w:szCs w:val="22"/>
          <w:lang w:val="en-GB" w:eastAsia="zh-CN"/>
        </w:rPr>
        <w:t xml:space="preserve"> France,</w:t>
      </w:r>
      <w:r>
        <w:rPr>
          <w:rFonts w:eastAsiaTheme="minorEastAsia"/>
          <w:sz w:val="22"/>
          <w:szCs w:val="22"/>
          <w:lang w:val="en-GB" w:eastAsia="zh-CN"/>
        </w:rPr>
        <w:t xml:space="preserve"> 1</w:t>
      </w:r>
      <w:r>
        <w:rPr>
          <w:rFonts w:eastAsiaTheme="minorEastAsia" w:hint="eastAsia"/>
          <w:sz w:val="22"/>
          <w:szCs w:val="22"/>
          <w:lang w:val="en-GB" w:eastAsia="zh-CN"/>
        </w:rPr>
        <w:t>4</w:t>
      </w:r>
      <w:r>
        <w:rPr>
          <w:rFonts w:eastAsiaTheme="minorEastAsia"/>
          <w:sz w:val="22"/>
          <w:szCs w:val="22"/>
          <w:vertAlign w:val="superscript"/>
          <w:lang w:val="en-GB" w:eastAsia="zh-CN"/>
        </w:rPr>
        <w:t>th</w:t>
      </w:r>
      <w:r>
        <w:rPr>
          <w:rFonts w:eastAsiaTheme="minorEastAsia"/>
          <w:sz w:val="22"/>
          <w:szCs w:val="22"/>
          <w:lang w:val="en-GB" w:eastAsia="zh-CN"/>
        </w:rPr>
        <w:t xml:space="preserve"> – 1</w:t>
      </w:r>
      <w:r>
        <w:rPr>
          <w:rFonts w:eastAsiaTheme="minorEastAsia" w:hint="eastAsia"/>
          <w:sz w:val="22"/>
          <w:szCs w:val="22"/>
          <w:lang w:val="en-GB" w:eastAsia="zh-CN"/>
        </w:rPr>
        <w:t>8</w:t>
      </w:r>
      <w:r>
        <w:rPr>
          <w:rFonts w:eastAsiaTheme="minorEastAsia"/>
          <w:sz w:val="22"/>
          <w:szCs w:val="22"/>
          <w:vertAlign w:val="superscript"/>
          <w:lang w:val="en-GB" w:eastAsia="zh-CN"/>
        </w:rPr>
        <w:t xml:space="preserve">th </w:t>
      </w:r>
      <w:r>
        <w:rPr>
          <w:rFonts w:eastAsiaTheme="minorEastAsia"/>
          <w:sz w:val="22"/>
          <w:szCs w:val="22"/>
          <w:lang w:val="en-GB" w:eastAsia="zh-CN"/>
        </w:rPr>
        <w:t>Nov, 2022</w:t>
      </w:r>
      <w:r>
        <w:rPr>
          <w:rFonts w:eastAsiaTheme="minorEastAsia"/>
          <w:sz w:val="22"/>
          <w:szCs w:val="22"/>
          <w:lang w:val="en-GB" w:eastAsia="zh-CN"/>
        </w:rPr>
        <w:tab/>
      </w:r>
    </w:p>
    <w:p>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Discussion on U2U Relay Discovery and (Re</w:t>
      </w:r>
      <w:proofErr w:type="gramStart"/>
      <w:r>
        <w:rPr>
          <w:rFonts w:eastAsiaTheme="minorEastAsia" w:cs="Arial"/>
          <w:sz w:val="22"/>
          <w:szCs w:val="22"/>
          <w:lang w:eastAsia="zh-CN"/>
        </w:rPr>
        <w:t>)</w:t>
      </w:r>
      <w:r>
        <w:rPr>
          <w:rFonts w:eastAsiaTheme="minorEastAsia" w:cs="Arial" w:hint="eastAsia"/>
          <w:sz w:val="22"/>
          <w:szCs w:val="22"/>
          <w:lang w:eastAsia="zh-CN"/>
        </w:rPr>
        <w:t>S</w:t>
      </w:r>
      <w:r>
        <w:rPr>
          <w:rFonts w:eastAsiaTheme="minorEastAsia" w:cs="Arial"/>
          <w:sz w:val="22"/>
          <w:szCs w:val="22"/>
          <w:lang w:eastAsia="zh-CN"/>
        </w:rPr>
        <w:t>election</w:t>
      </w:r>
      <w:proofErr w:type="gramEnd"/>
    </w:p>
    <w:p>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 xml:space="preserve">8.9.2         </w:t>
      </w:r>
    </w:p>
    <w:p>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pPr>
        <w:pBdr>
          <w:bottom w:val="single" w:sz="4" w:space="1" w:color="auto"/>
        </w:pBdr>
        <w:tabs>
          <w:tab w:val="left" w:pos="2552"/>
        </w:tabs>
        <w:jc w:val="both"/>
      </w:pPr>
    </w:p>
    <w:p>
      <w:pPr>
        <w:pStyle w:val="1"/>
        <w:jc w:val="both"/>
        <w:rPr>
          <w:szCs w:val="28"/>
        </w:rPr>
      </w:pPr>
      <w:bookmarkStart w:id="3" w:name="_Ref35586532"/>
      <w:r>
        <w:rPr>
          <w:szCs w:val="28"/>
        </w:rPr>
        <w:t>Introduction</w:t>
      </w:r>
      <w:bookmarkEnd w:id="3"/>
    </w:p>
    <w:p>
      <w:pPr>
        <w:pStyle w:val="a0"/>
        <w:spacing w:beforeLines="50" w:before="120"/>
      </w:pPr>
      <w:r>
        <w:rPr>
          <w:rFonts w:eastAsiaTheme="minorEastAsia" w:hint="eastAsia"/>
          <w:lang w:eastAsia="zh-CN"/>
        </w:rPr>
        <w:t>In the RAN2#119bis-e meeting, the U2U relay was discussed and reached the following agreements:</w:t>
      </w:r>
    </w:p>
    <w:p>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t>Agreements:</w:t>
      </w:r>
    </w:p>
    <w:p>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t>Proposal 1.1 (modified): In UE-to-UE relay, the remote/relay UE in RRC_IDLE/RRC_INACTIVE or OOC can acquire discovery configuration as in Rel17 (i.e., cell-specific configuration/</w:t>
      </w:r>
      <w:proofErr w:type="spellStart"/>
      <w:r>
        <w:t>preconfiguration</w:t>
      </w:r>
      <w:proofErr w:type="spellEnd"/>
      <w:r>
        <w:t xml:space="preserve">).  FFS if any restrictions specific to UE-to-UE relay are introduced for in-coverage UE in RRC_CONNECTED.   </w:t>
      </w:r>
    </w:p>
    <w:p>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t>Proposal 2.1:</w:t>
      </w:r>
      <w:r>
        <w:tab/>
      </w:r>
      <w:r>
        <w:tab/>
        <w:t xml:space="preserve">Protocol stack for U2N Relay discovery is re-used for U2U Relay Discovery </w:t>
      </w:r>
    </w:p>
    <w:p>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t>Proposal 2.2:</w:t>
      </w:r>
      <w:r>
        <w:tab/>
      </w:r>
      <w:r>
        <w:tab/>
        <w:t xml:space="preserve">U2U Relay re-uses SL-SRB4 (with associated PDCP, RLC procedures and configuration) to carry discovery messages </w:t>
      </w:r>
    </w:p>
    <w:p>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t>Proposal 4.1:</w:t>
      </w:r>
      <w:r>
        <w:tab/>
      </w:r>
      <w:r>
        <w:tab/>
        <w:t xml:space="preserve">Both shared and dedicated resource pool can be used for U2U discovery transmission and Rel-17 pool selection principle is re-used. </w:t>
      </w:r>
    </w:p>
    <w:p>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t>Proposal 5.1:</w:t>
      </w:r>
      <w:r>
        <w:tab/>
      </w:r>
      <w:r>
        <w:tab/>
        <w:t xml:space="preserve">SL-RSRP and SD-RSRP can be used for relay selection/reselection criteria.  </w:t>
      </w:r>
      <w:proofErr w:type="gramStart"/>
      <w:r>
        <w:t>FFS when each of the two quantities are used and whether to re-use the criteria in Rel17.</w:t>
      </w:r>
      <w:proofErr w:type="gramEnd"/>
    </w:p>
    <w:p>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t xml:space="preserve">Proposal 7.1a: Relay selection triggers include at least 1) Upper layer trigger; 2) PC5 signal strength conditions.  RAN2 further discuss details for trigger 2). </w:t>
      </w:r>
    </w:p>
    <w:p>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t>Proposal 7.1b (modified): Relay reselection triggers include at least 1) Upper layer trigger; 2) PC5-RLF detection at the Remote UE; 3) PC5-RLF indication received from the relay; 4) PC5 signal strength conditions; 5) PC5 link release message from relay to remote.  RAN2 further discuss details for trigger 4), potentially including T400 expiry.  FFS if some of the conditions could be indicated to upper layer instead of directly causing reselection.</w:t>
      </w:r>
    </w:p>
    <w:p>
      <w:pPr>
        <w:pStyle w:val="a0"/>
        <w:spacing w:beforeLines="50" w:before="120"/>
        <w:rPr>
          <w:rFonts w:eastAsiaTheme="minorEastAsia"/>
          <w:lang w:eastAsia="zh-CN"/>
        </w:rPr>
      </w:pPr>
    </w:p>
    <w:p>
      <w:pPr>
        <w:pStyle w:val="Doc-text2"/>
        <w:pBdr>
          <w:top w:val="single" w:sz="4" w:space="1" w:color="auto"/>
          <w:left w:val="single" w:sz="4" w:space="4" w:color="auto"/>
          <w:bottom w:val="single" w:sz="4" w:space="1" w:color="auto"/>
          <w:right w:val="single" w:sz="4" w:space="4" w:color="auto"/>
        </w:pBdr>
        <w:tabs>
          <w:tab w:val="clear" w:pos="1622"/>
          <w:tab w:val="left" w:pos="284"/>
        </w:tabs>
        <w:ind w:left="426"/>
      </w:pPr>
      <w:r>
        <w:t>Agreements:</w:t>
      </w:r>
    </w:p>
    <w:p>
      <w:pPr>
        <w:pStyle w:val="Doc-text2"/>
        <w:pBdr>
          <w:top w:val="single" w:sz="4" w:space="1" w:color="auto"/>
          <w:left w:val="single" w:sz="4" w:space="4" w:color="auto"/>
          <w:bottom w:val="single" w:sz="4" w:space="1" w:color="auto"/>
          <w:right w:val="single" w:sz="4" w:space="4" w:color="auto"/>
        </w:pBdr>
        <w:tabs>
          <w:tab w:val="clear" w:pos="1622"/>
          <w:tab w:val="left" w:pos="284"/>
        </w:tabs>
        <w:ind w:left="426"/>
      </w:pPr>
      <w:r>
        <w:t>RAN2 will strive to simplify the gNB involvement in U2U-relay-specific operation as compared to the U2N case.  Details are FFS, including whether some gNB control is needed for the in-coverage scenario and how/whether the gNB involvement can be simplified compared to U2N.</w:t>
      </w:r>
    </w:p>
    <w:p>
      <w:pPr>
        <w:pStyle w:val="Doc-text2"/>
        <w:pBdr>
          <w:top w:val="single" w:sz="4" w:space="1" w:color="auto"/>
          <w:left w:val="single" w:sz="4" w:space="4" w:color="auto"/>
          <w:bottom w:val="single" w:sz="4" w:space="1" w:color="auto"/>
          <w:right w:val="single" w:sz="4" w:space="4" w:color="auto"/>
        </w:pBdr>
        <w:tabs>
          <w:tab w:val="clear" w:pos="1622"/>
          <w:tab w:val="left" w:pos="284"/>
        </w:tabs>
        <w:ind w:left="426"/>
      </w:pPr>
      <w:r>
        <w:t>Rel17 SI assumptions on RRC state and coverage scenarios can be re-used.</w:t>
      </w:r>
    </w:p>
    <w:p>
      <w:pPr>
        <w:pStyle w:val="a0"/>
        <w:tabs>
          <w:tab w:val="left" w:pos="284"/>
        </w:tabs>
        <w:spacing w:beforeLines="50" w:before="120"/>
        <w:rPr>
          <w:rFonts w:eastAsiaTheme="minorEastAsia"/>
          <w:lang w:eastAsia="zh-CN"/>
        </w:rPr>
      </w:pPr>
    </w:p>
    <w:p>
      <w:pPr>
        <w:pStyle w:val="Doc-text2"/>
        <w:pBdr>
          <w:top w:val="single" w:sz="4" w:space="1" w:color="auto"/>
          <w:left w:val="single" w:sz="4" w:space="4" w:color="auto"/>
          <w:bottom w:val="single" w:sz="4" w:space="1" w:color="auto"/>
          <w:right w:val="single" w:sz="4" w:space="4" w:color="auto"/>
        </w:pBdr>
        <w:tabs>
          <w:tab w:val="clear" w:pos="1622"/>
          <w:tab w:val="left" w:pos="284"/>
        </w:tabs>
        <w:ind w:left="426"/>
      </w:pPr>
      <w:r>
        <w:t>Agreement:</w:t>
      </w:r>
    </w:p>
    <w:p>
      <w:pPr>
        <w:pStyle w:val="Doc-text2"/>
        <w:pBdr>
          <w:top w:val="single" w:sz="4" w:space="1" w:color="auto"/>
          <w:left w:val="single" w:sz="4" w:space="4" w:color="auto"/>
          <w:bottom w:val="single" w:sz="4" w:space="1" w:color="auto"/>
          <w:right w:val="single" w:sz="4" w:space="4" w:color="auto"/>
        </w:pBdr>
        <w:tabs>
          <w:tab w:val="clear" w:pos="1622"/>
          <w:tab w:val="left" w:pos="284"/>
        </w:tabs>
        <w:ind w:left="426"/>
      </w:pPr>
      <w:r>
        <w:t xml:space="preserve">Proposal 2.3a [20/20]: Discovery message transmission at the remote UE is conditioned on at least upper layer indication.    </w:t>
      </w:r>
    </w:p>
    <w:p>
      <w:pPr>
        <w:pStyle w:val="a0"/>
        <w:spacing w:beforeLines="100" w:before="240"/>
        <w:rPr>
          <w:rFonts w:eastAsiaTheme="minorEastAsia"/>
          <w:lang w:eastAsia="zh-CN"/>
        </w:rPr>
      </w:pPr>
      <w:r>
        <w:rPr>
          <w:rFonts w:eastAsiaTheme="minorEastAsia" w:hint="eastAsia"/>
          <w:lang w:eastAsia="zh-CN"/>
        </w:rPr>
        <w:t>In this contribution, we will further discuss the leftover issues of U2U relay discovery and (re)selection.</w:t>
      </w:r>
    </w:p>
    <w:p>
      <w:pPr>
        <w:pStyle w:val="1"/>
        <w:jc w:val="both"/>
      </w:pPr>
      <w:r>
        <w:rPr>
          <w:rFonts w:hint="eastAsia"/>
        </w:rPr>
        <w:t>Discussion</w:t>
      </w:r>
    </w:p>
    <w:p>
      <w:pPr>
        <w:pStyle w:val="20"/>
        <w:ind w:left="568" w:hangingChars="283" w:hanging="568"/>
        <w:rPr>
          <w:rFonts w:eastAsiaTheme="minorEastAsia"/>
        </w:rPr>
      </w:pPr>
      <w:r>
        <w:rPr>
          <w:rFonts w:eastAsiaTheme="minorEastAsia" w:hint="eastAsia"/>
        </w:rPr>
        <w:t>I</w:t>
      </w:r>
      <w:r>
        <w:rPr>
          <w:lang w:eastAsia="ko-KR"/>
        </w:rPr>
        <w:t>ntegrated</w:t>
      </w:r>
      <w:r>
        <w:rPr>
          <w:rFonts w:eastAsiaTheme="minorEastAsia" w:hint="eastAsia"/>
        </w:rPr>
        <w:t xml:space="preserve"> or s</w:t>
      </w:r>
      <w:r>
        <w:rPr>
          <w:rFonts w:eastAsiaTheme="minorEastAsia"/>
        </w:rPr>
        <w:t>eparated</w:t>
      </w:r>
      <w:r>
        <w:rPr>
          <w:rFonts w:eastAsiaTheme="minorEastAsia" w:hint="eastAsia"/>
        </w:rPr>
        <w:t xml:space="preserve"> discovery procedure</w:t>
      </w:r>
    </w:p>
    <w:p>
      <w:pPr>
        <w:pStyle w:val="a0"/>
        <w:rPr>
          <w:rFonts w:eastAsiaTheme="minorEastAsia"/>
        </w:rPr>
      </w:pP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_Ref118237729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the following conclusion on U2U relay discovery was reached:</w:t>
      </w:r>
    </w:p>
    <w:tbl>
      <w:tblPr>
        <w:tblStyle w:val="a7"/>
        <w:tblW w:w="0" w:type="auto"/>
        <w:tblLook w:val="04A0" w:firstRow="1" w:lastRow="0" w:firstColumn="1" w:lastColumn="0" w:noHBand="0" w:noVBand="1"/>
      </w:tblPr>
      <w:tblGrid>
        <w:gridCol w:w="8522"/>
      </w:tblGrid>
      <w:tr>
        <w:tc>
          <w:tcPr>
            <w:tcW w:w="8522" w:type="dxa"/>
          </w:tcPr>
          <w:p>
            <w:pPr>
              <w:pStyle w:val="1"/>
              <w:numPr>
                <w:ilvl w:val="0"/>
                <w:numId w:val="0"/>
              </w:numPr>
              <w:ind w:left="567" w:hanging="567"/>
            </w:pPr>
            <w:r>
              <w:rPr>
                <w:rFonts w:hint="eastAsia"/>
              </w:rPr>
              <w:lastRenderedPageBreak/>
              <w:t xml:space="preserve">8. </w:t>
            </w:r>
            <w:r>
              <w:t>Conclusions</w:t>
            </w:r>
          </w:p>
          <w:p>
            <w:pPr>
              <w:pStyle w:val="20"/>
              <w:numPr>
                <w:ilvl w:val="0"/>
                <w:numId w:val="0"/>
              </w:numPr>
            </w:pPr>
            <w:bookmarkStart w:id="4" w:name="_Toc113266094"/>
            <w:bookmarkStart w:id="5" w:name="_Toc116941893"/>
            <w:r>
              <w:rPr>
                <w:rFonts w:hint="eastAsia"/>
              </w:rPr>
              <w:t>8</w:t>
            </w:r>
            <w:r>
              <w:t>.1</w:t>
            </w:r>
            <w:r>
              <w:tab/>
              <w:t>Key Issue #1: Support of UE-to-UE Relay</w:t>
            </w:r>
            <w:bookmarkEnd w:id="4"/>
            <w:bookmarkEnd w:id="5"/>
          </w:p>
          <w:p>
            <w:pPr>
              <w:rPr>
                <w:rFonts w:eastAsia="宋体"/>
                <w:lang w:eastAsia="zh-CN"/>
              </w:rPr>
            </w:pPr>
            <w:r>
              <w:rPr>
                <w:lang w:eastAsia="ko-KR"/>
              </w:rPr>
              <w:t xml:space="preserve">For </w:t>
            </w:r>
            <w:r>
              <w:rPr>
                <w:lang w:eastAsia="zh-CN"/>
              </w:rPr>
              <w:t>Key Issue #1 (Support of UE-to-UE Relay)</w:t>
            </w:r>
            <w:r>
              <w:rPr>
                <w:lang w:eastAsia="ko-KR"/>
              </w:rPr>
              <w:t>,</w:t>
            </w:r>
            <w:r>
              <w:rPr>
                <w:lang w:eastAsia="zh-CN"/>
              </w:rPr>
              <w:t xml:space="preserve"> the followings are taken </w:t>
            </w:r>
            <w:r>
              <w:t>as conclusions</w:t>
            </w:r>
            <w:r>
              <w:rPr>
                <w:rFonts w:eastAsia="宋体" w:hint="eastAsia"/>
                <w:lang w:eastAsia="zh-CN"/>
              </w:rPr>
              <w:t>:</w:t>
            </w:r>
          </w:p>
          <w:p>
            <w:r>
              <w:rPr>
                <w:rFonts w:eastAsia="宋体"/>
                <w:lang w:eastAsia="zh-CN"/>
              </w:rPr>
              <w:t>T</w:t>
            </w:r>
            <w:r>
              <w:rPr>
                <w:rFonts w:eastAsia="宋体" w:hint="eastAsia"/>
                <w:lang w:eastAsia="zh-CN"/>
              </w:rPr>
              <w:t>he following conclusions</w:t>
            </w:r>
            <w:r>
              <w:t xml:space="preserve"> are common for both L</w:t>
            </w:r>
            <w:r>
              <w:rPr>
                <w:rFonts w:eastAsia="宋体" w:hint="eastAsia"/>
                <w:lang w:eastAsia="zh-CN"/>
              </w:rPr>
              <w:t>ayer-</w:t>
            </w:r>
            <w:r>
              <w:t>3 UE-to-UE Relay and L</w:t>
            </w:r>
            <w:r>
              <w:rPr>
                <w:rFonts w:eastAsia="宋体" w:hint="eastAsia"/>
                <w:lang w:eastAsia="zh-CN"/>
              </w:rPr>
              <w:t>ayer-</w:t>
            </w:r>
            <w:r>
              <w:t xml:space="preserve">2 UE-to-UE </w:t>
            </w:r>
            <w:r>
              <w:rPr>
                <w:rFonts w:eastAsia="宋体" w:hint="eastAsia"/>
                <w:lang w:eastAsia="zh-CN"/>
              </w:rPr>
              <w:t>R</w:t>
            </w:r>
            <w:r>
              <w:t>elay:</w:t>
            </w:r>
          </w:p>
          <w:p>
            <w:pPr>
              <w:pStyle w:val="B1"/>
              <w:rPr>
                <w:lang w:eastAsia="ko-KR"/>
              </w:rPr>
            </w:pPr>
            <w:r>
              <w:rPr>
                <w:lang w:eastAsia="ko-KR"/>
              </w:rPr>
              <w:t>-</w:t>
            </w:r>
            <w:r>
              <w:rPr>
                <w:lang w:eastAsia="ko-KR"/>
              </w:rPr>
              <w:tab/>
            </w:r>
            <w:r>
              <w:rPr>
                <w:highlight w:val="cyan"/>
                <w:lang w:eastAsia="ko-KR"/>
              </w:rPr>
              <w:t>For UE-to-UE Relay discovery, both Model A and Model B discovery are supported.</w:t>
            </w:r>
          </w:p>
          <w:p>
            <w:pPr>
              <w:pStyle w:val="B1"/>
              <w:rPr>
                <w:lang w:eastAsia="zh-CN"/>
              </w:rPr>
            </w:pPr>
            <w:r>
              <w:rPr>
                <w:lang w:eastAsia="ko-KR"/>
              </w:rPr>
              <w:t>-</w:t>
            </w:r>
            <w:r>
              <w:rPr>
                <w:lang w:eastAsia="ko-KR"/>
              </w:rPr>
              <w:tab/>
            </w:r>
            <w:r>
              <w:rPr>
                <w:highlight w:val="yellow"/>
                <w:lang w:eastAsia="ko-KR"/>
              </w:rPr>
              <w:t>Discovery integrated into PC5 unicast link establishment procedure is supported. Sol#1 Alt1 is used as basis for normative phase.</w:t>
            </w:r>
          </w:p>
          <w:p>
            <w:pPr>
              <w:pStyle w:val="B1"/>
              <w:rPr>
                <w:lang w:eastAsia="ko-KR"/>
              </w:rPr>
            </w:pPr>
            <w:r>
              <w:rPr>
                <w:lang w:eastAsia="ko-KR"/>
              </w:rPr>
              <w:t>-</w:t>
            </w:r>
            <w:r>
              <w:rPr>
                <w:lang w:eastAsia="ko-KR"/>
              </w:rPr>
              <w:tab/>
            </w:r>
            <w:r>
              <w:rPr>
                <w:highlight w:val="cyan"/>
                <w:lang w:eastAsia="ko-KR"/>
              </w:rPr>
              <w:t xml:space="preserve">The 5G </w:t>
            </w:r>
            <w:proofErr w:type="spellStart"/>
            <w:r>
              <w:rPr>
                <w:highlight w:val="cyan"/>
                <w:lang w:eastAsia="ko-KR"/>
              </w:rPr>
              <w:t>ProSe</w:t>
            </w:r>
            <w:proofErr w:type="spellEnd"/>
            <w:r>
              <w:rPr>
                <w:highlight w:val="cyan"/>
                <w:lang w:eastAsia="ko-KR"/>
              </w:rPr>
              <w:t xml:space="preserve"> UE-to-UE Relay discovery message contains two sets of elements, i.e. direct discovery set(s) and a U2U discovery set.</w:t>
            </w:r>
            <w:r>
              <w:rPr>
                <w:lang w:eastAsia="ko-KR"/>
              </w:rPr>
              <w:t xml:space="preserve"> </w:t>
            </w:r>
          </w:p>
          <w:p>
            <w:pPr>
              <w:pStyle w:val="B2"/>
            </w:pPr>
            <w:r>
              <w:t>-</w:t>
            </w:r>
            <w:r>
              <w:tab/>
              <w:t xml:space="preserve">The direct discovery set of elements can be part of the contents of 5G </w:t>
            </w:r>
            <w:proofErr w:type="spellStart"/>
            <w:r>
              <w:t>ProSe</w:t>
            </w:r>
            <w:proofErr w:type="spellEnd"/>
            <w:r>
              <w:t xml:space="preserve"> Direct Discovery message as defined in Rel-17. This includes for example the User Info ID of Source UE and Target UE.</w:t>
            </w:r>
          </w:p>
          <w:p>
            <w:pPr>
              <w:pStyle w:val="B2"/>
            </w:pPr>
            <w:r>
              <w:t>-</w:t>
            </w:r>
            <w:r>
              <w:tab/>
              <w:t xml:space="preserve">The U2U discovery set contains the information to support the discovery of the UE-to-UE relay and extensions of the direct discovery. This includes for example Type of Discovery Message, RSC, User Info ID of the relay, etc. </w:t>
            </w:r>
          </w:p>
          <w:p>
            <w:pPr>
              <w:pStyle w:val="B2"/>
              <w:rPr>
                <w:lang w:eastAsia="zh-CN"/>
              </w:rPr>
            </w:pPr>
            <w:r>
              <w:t>-</w:t>
            </w:r>
            <w:r>
              <w:tab/>
              <w:t xml:space="preserve">5G </w:t>
            </w:r>
            <w:proofErr w:type="spellStart"/>
            <w:r>
              <w:t>ProSe</w:t>
            </w:r>
            <w:proofErr w:type="spellEnd"/>
            <w:r>
              <w:t xml:space="preserve"> UE-to-UE relay only modifies the U2U set of the elements, and forwards the end-to-end elements during the discovery procedures.</w:t>
            </w:r>
          </w:p>
          <w:p>
            <w:pPr>
              <w:pStyle w:val="a0"/>
              <w:rPr>
                <w:rFonts w:eastAsiaTheme="minorEastAsia"/>
                <w:lang w:eastAsia="zh-CN"/>
              </w:rPr>
            </w:pPr>
            <w:r>
              <w:rPr>
                <w:rFonts w:eastAsiaTheme="minorEastAsia"/>
                <w:lang w:eastAsia="zh-CN"/>
              </w:rPr>
              <w:t>……</w:t>
            </w:r>
          </w:p>
        </w:tc>
      </w:tr>
    </w:tbl>
    <w:p>
      <w:pPr>
        <w:pStyle w:val="a0"/>
        <w:spacing w:beforeLines="50" w:before="120"/>
        <w:rPr>
          <w:rFonts w:eastAsiaTheme="minorEastAsia"/>
        </w:rPr>
      </w:pPr>
      <w:r>
        <w:rPr>
          <w:rFonts w:eastAsiaTheme="minorEastAsia" w:hint="eastAsia"/>
          <w:lang w:eastAsia="zh-CN"/>
        </w:rPr>
        <w:t>Based on the SA2 conclusion, there are two solutions for U2U relay discovery:</w:t>
      </w:r>
    </w:p>
    <w:p>
      <w:pPr>
        <w:pStyle w:val="a0"/>
        <w:numPr>
          <w:ilvl w:val="0"/>
          <w:numId w:val="35"/>
        </w:numPr>
        <w:rPr>
          <w:rFonts w:eastAsiaTheme="minorEastAsia"/>
        </w:rPr>
      </w:pPr>
      <w:r>
        <w:rPr>
          <w:rFonts w:eastAsiaTheme="minorEastAsia" w:hint="eastAsia"/>
          <w:lang w:eastAsia="zh-CN"/>
        </w:rPr>
        <w:t>Solution 1: Discovery is integrated into the PC5 unicast link establishment procedure.</w:t>
      </w:r>
    </w:p>
    <w:p>
      <w:pPr>
        <w:pStyle w:val="a0"/>
        <w:numPr>
          <w:ilvl w:val="0"/>
          <w:numId w:val="35"/>
        </w:numPr>
        <w:rPr>
          <w:rFonts w:eastAsiaTheme="minorEastAsia"/>
        </w:rPr>
      </w:pPr>
      <w:r>
        <w:rPr>
          <w:rFonts w:eastAsiaTheme="minorEastAsia" w:hint="eastAsia"/>
          <w:lang w:eastAsia="zh-CN"/>
        </w:rPr>
        <w:t>Solution 2: Discovery is separated from the PC5 unicast link establishment procedure.</w:t>
      </w:r>
    </w:p>
    <w:p>
      <w:pPr>
        <w:pStyle w:val="a0"/>
        <w:spacing w:beforeLines="50" w:before="120"/>
        <w:rPr>
          <w:rFonts w:eastAsiaTheme="minorEastAsia"/>
          <w:lang w:eastAsia="zh-CN"/>
        </w:rPr>
      </w:pPr>
      <w:r>
        <w:rPr>
          <w:rFonts w:eastAsiaTheme="minorEastAsia" w:hint="eastAsia"/>
          <w:lang w:eastAsia="zh-CN"/>
        </w:rPr>
        <w:t>The detailed signaling flow of Solution 1 is as below:</w:t>
      </w:r>
    </w:p>
    <w:p>
      <w:pPr>
        <w:pStyle w:val="TF"/>
        <w:rPr>
          <w:rFonts w:eastAsiaTheme="minorEastAsia"/>
          <w:lang w:eastAsia="zh-CN"/>
        </w:rPr>
      </w:pPr>
      <w:r>
        <w:rPr>
          <w:noProof/>
          <w:lang w:val="en-US" w:eastAsia="zh-CN"/>
        </w:rPr>
        <w:lastRenderedPageBreak/>
        <mc:AlternateContent>
          <mc:Choice Requires="wpg">
            <w:drawing>
              <wp:inline distT="0" distB="0" distL="0" distR="0">
                <wp:extent cx="5094898" cy="4308573"/>
                <wp:effectExtent l="0" t="0" r="10795" b="15875"/>
                <wp:docPr id="100" name="Page-1"/>
                <wp:cNvGraphicFramePr/>
                <a:graphic xmlns:a="http://schemas.openxmlformats.org/drawingml/2006/main">
                  <a:graphicData uri="http://schemas.microsoft.com/office/word/2010/wordprocessingGroup">
                    <wpg:wgp>
                      <wpg:cNvGrpSpPr/>
                      <wpg:grpSpPr>
                        <a:xfrm>
                          <a:off x="0" y="0"/>
                          <a:ext cx="5094898" cy="4308573"/>
                          <a:chOff x="111182" y="2000"/>
                          <a:chExt cx="5192096" cy="4399370"/>
                        </a:xfrm>
                      </wpg:grpSpPr>
                      <wps:wsp>
                        <wps:cNvPr id="111" name="Rectangle"/>
                        <wps:cNvSpPr/>
                        <wps:spPr>
                          <a:xfrm>
                            <a:off x="262787" y="2000"/>
                            <a:ext cx="680315" cy="340157"/>
                          </a:xfrm>
                          <a:custGeom>
                            <a:avLst/>
                            <a:gdLst>
                              <a:gd name="connsiteX0" fmla="*/ 340157 w 680315"/>
                              <a:gd name="connsiteY0" fmla="*/ 340157 h 340157"/>
                              <a:gd name="connsiteX1" fmla="*/ 680315 w 680315"/>
                              <a:gd name="connsiteY1" fmla="*/ 170079 h 340157"/>
                              <a:gd name="connsiteX2" fmla="*/ 340157 w 680315"/>
                              <a:gd name="connsiteY2" fmla="*/ 0 h 340157"/>
                              <a:gd name="connsiteX3" fmla="*/ 0 w 680315"/>
                              <a:gd name="connsiteY3" fmla="*/ 170079 h 340157"/>
                              <a:gd name="connsiteX4" fmla="*/ 340157 w 680315"/>
                              <a:gd name="connsiteY4" fmla="*/ 170079 h 340157"/>
                              <a:gd name="rtl" fmla="*/ -15000 w 680315"/>
                              <a:gd name="rtr" fmla="*/ 695315 w 680315"/>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680315" h="340157">
                                <a:moveTo>
                                  <a:pt x="0" y="340157"/>
                                </a:moveTo>
                                <a:lnTo>
                                  <a:pt x="680315" y="340157"/>
                                </a:lnTo>
                                <a:lnTo>
                                  <a:pt x="680315" y="0"/>
                                </a:lnTo>
                                <a:lnTo>
                                  <a:pt x="0" y="0"/>
                                </a:lnTo>
                                <a:lnTo>
                                  <a:pt x="0" y="340157"/>
                                </a:lnTo>
                                <a:close/>
                              </a:path>
                            </a:pathLst>
                          </a:custGeom>
                          <a:solidFill>
                            <a:srgbClr val="FFFFFF"/>
                          </a:solidFill>
                          <a:ln w="3333" cap="sq">
                            <a:solidFill>
                              <a:srgbClr val="000000"/>
                            </a:solidFill>
                          </a:ln>
                        </wps:spPr>
                        <wps:txbx>
                          <w:txbxContent>
                            <w:p>
                              <w:pPr>
                                <w:snapToGrid w:val="0"/>
                                <w:spacing w:line="264" w:lineRule="auto"/>
                                <w:jc w:val="center"/>
                                <w:rPr>
                                  <w:sz w:val="12"/>
                                </w:rPr>
                              </w:pPr>
                              <w:r>
                                <w:rPr>
                                  <w:rFonts w:ascii="Calibri" w:eastAsia="Calibri" w:hAnsi="Calibri"/>
                                  <w:color w:val="000000"/>
                                  <w:sz w:val="14"/>
                                  <w:szCs w:val="14"/>
                                </w:rPr>
                                <w:t>UE-1</w:t>
                              </w:r>
                            </w:p>
                          </w:txbxContent>
                        </wps:txbx>
                        <wps:bodyPr wrap="square" lIns="0" tIns="0" rIns="0" bIns="0" rtlCol="0" anchor="ctr"/>
                      </wps:wsp>
                      <wps:wsp>
                        <wps:cNvPr id="112" name="Rectangle.2"/>
                        <wps:cNvSpPr/>
                        <wps:spPr>
                          <a:xfrm>
                            <a:off x="1918221" y="2000"/>
                            <a:ext cx="680315" cy="340157"/>
                          </a:xfrm>
                          <a:custGeom>
                            <a:avLst/>
                            <a:gdLst>
                              <a:gd name="connsiteX0" fmla="*/ 340157 w 680315"/>
                              <a:gd name="connsiteY0" fmla="*/ 340157 h 340157"/>
                              <a:gd name="connsiteX1" fmla="*/ 680315 w 680315"/>
                              <a:gd name="connsiteY1" fmla="*/ 170079 h 340157"/>
                              <a:gd name="connsiteX2" fmla="*/ 340157 w 680315"/>
                              <a:gd name="connsiteY2" fmla="*/ 0 h 340157"/>
                              <a:gd name="connsiteX3" fmla="*/ 0 w 680315"/>
                              <a:gd name="connsiteY3" fmla="*/ 170079 h 340157"/>
                              <a:gd name="connsiteX4" fmla="*/ 340157 w 680315"/>
                              <a:gd name="connsiteY4" fmla="*/ 170079 h 340157"/>
                              <a:gd name="rtl" fmla="*/ -15000 w 680315"/>
                              <a:gd name="rtr" fmla="*/ 695315 w 680315"/>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680315" h="340157">
                                <a:moveTo>
                                  <a:pt x="0" y="340157"/>
                                </a:moveTo>
                                <a:lnTo>
                                  <a:pt x="680315" y="340157"/>
                                </a:lnTo>
                                <a:lnTo>
                                  <a:pt x="680315" y="0"/>
                                </a:lnTo>
                                <a:lnTo>
                                  <a:pt x="0" y="0"/>
                                </a:lnTo>
                                <a:lnTo>
                                  <a:pt x="0" y="340157"/>
                                </a:lnTo>
                                <a:close/>
                              </a:path>
                            </a:pathLst>
                          </a:custGeom>
                          <a:solidFill>
                            <a:srgbClr val="FFFFFF"/>
                          </a:solidFill>
                          <a:ln w="3333" cap="sq">
                            <a:solidFill>
                              <a:srgbClr val="000000"/>
                            </a:solidFill>
                          </a:ln>
                        </wps:spPr>
                        <wps:txbx>
                          <w:txbxContent>
                            <w:p>
                              <w:pPr>
                                <w:snapToGrid w:val="0"/>
                                <w:spacing w:line="264" w:lineRule="auto"/>
                                <w:jc w:val="center"/>
                                <w:rPr>
                                  <w:sz w:val="12"/>
                                </w:rPr>
                              </w:pPr>
                              <w:r>
                                <w:rPr>
                                  <w:rFonts w:ascii="Calibri" w:eastAsia="Calibri" w:hAnsi="Calibri"/>
                                  <w:color w:val="000000"/>
                                  <w:sz w:val="14"/>
                                  <w:szCs w:val="14"/>
                                </w:rPr>
                                <w:t>Relay-1</w:t>
                              </w:r>
                            </w:p>
                          </w:txbxContent>
                        </wps:txbx>
                        <wps:bodyPr wrap="square" lIns="0" tIns="0" rIns="0" bIns="0" rtlCol="0" anchor="ctr"/>
                      </wps:wsp>
                      <wps:wsp>
                        <wps:cNvPr id="113" name="Rectangle.3"/>
                        <wps:cNvSpPr/>
                        <wps:spPr>
                          <a:xfrm>
                            <a:off x="3165465" y="2000"/>
                            <a:ext cx="680315" cy="340157"/>
                          </a:xfrm>
                          <a:custGeom>
                            <a:avLst/>
                            <a:gdLst>
                              <a:gd name="connsiteX0" fmla="*/ 340157 w 680315"/>
                              <a:gd name="connsiteY0" fmla="*/ 340157 h 340157"/>
                              <a:gd name="connsiteX1" fmla="*/ 680315 w 680315"/>
                              <a:gd name="connsiteY1" fmla="*/ 170079 h 340157"/>
                              <a:gd name="connsiteX2" fmla="*/ 340157 w 680315"/>
                              <a:gd name="connsiteY2" fmla="*/ 0 h 340157"/>
                              <a:gd name="connsiteX3" fmla="*/ 0 w 680315"/>
                              <a:gd name="connsiteY3" fmla="*/ 170079 h 340157"/>
                              <a:gd name="connsiteX4" fmla="*/ 340157 w 680315"/>
                              <a:gd name="connsiteY4" fmla="*/ 170079 h 340157"/>
                              <a:gd name="rtl" fmla="*/ -15000 w 680315"/>
                              <a:gd name="rtr" fmla="*/ 695315 w 680315"/>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680315" h="340157">
                                <a:moveTo>
                                  <a:pt x="0" y="340157"/>
                                </a:moveTo>
                                <a:lnTo>
                                  <a:pt x="680315" y="340157"/>
                                </a:lnTo>
                                <a:lnTo>
                                  <a:pt x="680315" y="0"/>
                                </a:lnTo>
                                <a:lnTo>
                                  <a:pt x="0" y="0"/>
                                </a:lnTo>
                                <a:lnTo>
                                  <a:pt x="0" y="340157"/>
                                </a:lnTo>
                                <a:close/>
                              </a:path>
                            </a:pathLst>
                          </a:custGeom>
                          <a:solidFill>
                            <a:srgbClr val="FFFFFF"/>
                          </a:solidFill>
                          <a:ln w="3333" cap="sq">
                            <a:solidFill>
                              <a:srgbClr val="000000"/>
                            </a:solidFill>
                          </a:ln>
                        </wps:spPr>
                        <wps:txbx>
                          <w:txbxContent>
                            <w:p>
                              <w:pPr>
                                <w:snapToGrid w:val="0"/>
                                <w:spacing w:line="264" w:lineRule="auto"/>
                                <w:jc w:val="center"/>
                                <w:rPr>
                                  <w:sz w:val="12"/>
                                </w:rPr>
                              </w:pPr>
                              <w:r>
                                <w:rPr>
                                  <w:rFonts w:ascii="Calibri" w:eastAsia="Calibri" w:hAnsi="Calibri"/>
                                  <w:color w:val="000000"/>
                                  <w:sz w:val="14"/>
                                  <w:szCs w:val="14"/>
                                </w:rPr>
                                <w:t>Relay-2</w:t>
                              </w:r>
                            </w:p>
                          </w:txbxContent>
                        </wps:txbx>
                        <wps:bodyPr wrap="square" lIns="0" tIns="0" rIns="0" bIns="0" rtlCol="0" anchor="ctr"/>
                      </wps:wsp>
                      <wps:wsp>
                        <wps:cNvPr id="114" name="Rectangle.4"/>
                        <wps:cNvSpPr/>
                        <wps:spPr>
                          <a:xfrm>
                            <a:off x="4526095" y="2000"/>
                            <a:ext cx="680315" cy="340157"/>
                          </a:xfrm>
                          <a:custGeom>
                            <a:avLst/>
                            <a:gdLst>
                              <a:gd name="connsiteX0" fmla="*/ 340157 w 680315"/>
                              <a:gd name="connsiteY0" fmla="*/ 340157 h 340157"/>
                              <a:gd name="connsiteX1" fmla="*/ 680315 w 680315"/>
                              <a:gd name="connsiteY1" fmla="*/ 170079 h 340157"/>
                              <a:gd name="connsiteX2" fmla="*/ 340157 w 680315"/>
                              <a:gd name="connsiteY2" fmla="*/ 0 h 340157"/>
                              <a:gd name="connsiteX3" fmla="*/ 0 w 680315"/>
                              <a:gd name="connsiteY3" fmla="*/ 170079 h 340157"/>
                              <a:gd name="connsiteX4" fmla="*/ 340157 w 680315"/>
                              <a:gd name="connsiteY4" fmla="*/ 170079 h 340157"/>
                              <a:gd name="rtl" fmla="*/ -15000 w 680315"/>
                              <a:gd name="rtr" fmla="*/ 695315 w 680315"/>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680315" h="340157">
                                <a:moveTo>
                                  <a:pt x="0" y="340157"/>
                                </a:moveTo>
                                <a:lnTo>
                                  <a:pt x="680315" y="340157"/>
                                </a:lnTo>
                                <a:lnTo>
                                  <a:pt x="680315" y="0"/>
                                </a:lnTo>
                                <a:lnTo>
                                  <a:pt x="0" y="0"/>
                                </a:lnTo>
                                <a:lnTo>
                                  <a:pt x="0" y="340157"/>
                                </a:lnTo>
                                <a:close/>
                              </a:path>
                            </a:pathLst>
                          </a:custGeom>
                          <a:solidFill>
                            <a:srgbClr val="FFFFFF"/>
                          </a:solidFill>
                          <a:ln w="3333" cap="sq">
                            <a:solidFill>
                              <a:srgbClr val="000000"/>
                            </a:solidFill>
                          </a:ln>
                        </wps:spPr>
                        <wps:txbx>
                          <w:txbxContent>
                            <w:p>
                              <w:pPr>
                                <w:snapToGrid w:val="0"/>
                                <w:spacing w:line="264" w:lineRule="auto"/>
                                <w:jc w:val="center"/>
                                <w:rPr>
                                  <w:sz w:val="12"/>
                                </w:rPr>
                              </w:pPr>
                              <w:r>
                                <w:rPr>
                                  <w:rFonts w:ascii="Calibri" w:eastAsia="Calibri" w:hAnsi="Calibri"/>
                                  <w:color w:val="000000"/>
                                  <w:sz w:val="14"/>
                                  <w:szCs w:val="14"/>
                                </w:rPr>
                                <w:t>UE-2</w:t>
                              </w:r>
                            </w:p>
                          </w:txbxContent>
                        </wps:txbx>
                        <wps:bodyPr wrap="square" lIns="0" tIns="0" rIns="0" bIns="0" rtlCol="0" anchor="ctr"/>
                      </wps:wsp>
                      <wps:wsp>
                        <wps:cNvPr id="115" name="任意多边形 115"/>
                        <wps:cNvSpPr/>
                        <wps:spPr>
                          <a:xfrm rot="5400000">
                            <a:off x="-1406984" y="2346087"/>
                            <a:ext cx="4013858" cy="6000"/>
                          </a:xfrm>
                          <a:custGeom>
                            <a:avLst/>
                            <a:gdLst/>
                            <a:ahLst/>
                            <a:cxnLst/>
                            <a:rect l="l" t="t" r="r" b="b"/>
                            <a:pathLst>
                              <a:path w="4013858" h="6000" fill="none">
                                <a:moveTo>
                                  <a:pt x="0" y="0"/>
                                </a:moveTo>
                                <a:lnTo>
                                  <a:pt x="4013858" y="0"/>
                                </a:lnTo>
                              </a:path>
                            </a:pathLst>
                          </a:custGeom>
                          <a:solidFill>
                            <a:srgbClr val="4672C4"/>
                          </a:solidFill>
                          <a:ln w="6000" cap="rnd">
                            <a:solidFill>
                              <a:srgbClr val="000000"/>
                            </a:solidFill>
                          </a:ln>
                        </wps:spPr>
                        <wps:bodyPr/>
                      </wps:wsp>
                      <wps:wsp>
                        <wps:cNvPr id="116" name="任意多边形 116"/>
                        <wps:cNvSpPr/>
                        <wps:spPr>
                          <a:xfrm rot="5400000">
                            <a:off x="248449" y="2346087"/>
                            <a:ext cx="4013858" cy="6000"/>
                          </a:xfrm>
                          <a:custGeom>
                            <a:avLst/>
                            <a:gdLst/>
                            <a:ahLst/>
                            <a:cxnLst/>
                            <a:rect l="l" t="t" r="r" b="b"/>
                            <a:pathLst>
                              <a:path w="4013858" h="6000" fill="none">
                                <a:moveTo>
                                  <a:pt x="0" y="0"/>
                                </a:moveTo>
                                <a:lnTo>
                                  <a:pt x="4013858" y="0"/>
                                </a:lnTo>
                              </a:path>
                            </a:pathLst>
                          </a:custGeom>
                          <a:solidFill>
                            <a:srgbClr val="4672C4"/>
                          </a:solidFill>
                          <a:ln w="6000" cap="rnd">
                            <a:solidFill>
                              <a:srgbClr val="000000"/>
                            </a:solidFill>
                          </a:ln>
                        </wps:spPr>
                        <wps:bodyPr/>
                      </wps:wsp>
                      <wps:wsp>
                        <wps:cNvPr id="117" name="任意多边形 117"/>
                        <wps:cNvSpPr/>
                        <wps:spPr>
                          <a:xfrm rot="5400000">
                            <a:off x="1473016" y="2368764"/>
                            <a:ext cx="4059213" cy="6000"/>
                          </a:xfrm>
                          <a:custGeom>
                            <a:avLst/>
                            <a:gdLst/>
                            <a:ahLst/>
                            <a:cxnLst/>
                            <a:rect l="l" t="t" r="r" b="b"/>
                            <a:pathLst>
                              <a:path w="4059213" h="6000" fill="none">
                                <a:moveTo>
                                  <a:pt x="0" y="0"/>
                                </a:moveTo>
                                <a:lnTo>
                                  <a:pt x="4059213" y="0"/>
                                </a:lnTo>
                              </a:path>
                            </a:pathLst>
                          </a:custGeom>
                          <a:solidFill>
                            <a:srgbClr val="4672C4"/>
                          </a:solidFill>
                          <a:ln w="6000" cap="rnd">
                            <a:solidFill>
                              <a:srgbClr val="000000"/>
                            </a:solidFill>
                          </a:ln>
                        </wps:spPr>
                        <wps:bodyPr/>
                      </wps:wsp>
                      <wps:wsp>
                        <wps:cNvPr id="118" name="任意多边形 118"/>
                        <wps:cNvSpPr/>
                        <wps:spPr>
                          <a:xfrm rot="5400000">
                            <a:off x="2856323" y="2346087"/>
                            <a:ext cx="4013858" cy="6000"/>
                          </a:xfrm>
                          <a:custGeom>
                            <a:avLst/>
                            <a:gdLst/>
                            <a:ahLst/>
                            <a:cxnLst/>
                            <a:rect l="l" t="t" r="r" b="b"/>
                            <a:pathLst>
                              <a:path w="4013858" h="6000" fill="none">
                                <a:moveTo>
                                  <a:pt x="0" y="0"/>
                                </a:moveTo>
                                <a:lnTo>
                                  <a:pt x="4013858" y="0"/>
                                </a:lnTo>
                              </a:path>
                            </a:pathLst>
                          </a:custGeom>
                          <a:solidFill>
                            <a:srgbClr val="4672C4"/>
                          </a:solidFill>
                          <a:ln w="6000" cap="rnd">
                            <a:solidFill>
                              <a:srgbClr val="000000"/>
                            </a:solidFill>
                          </a:ln>
                        </wps:spPr>
                        <wps:bodyPr/>
                      </wps:wsp>
                      <wps:wsp>
                        <wps:cNvPr id="120" name="Rectangle.10"/>
                        <wps:cNvSpPr/>
                        <wps:spPr>
                          <a:xfrm>
                            <a:off x="111182" y="440177"/>
                            <a:ext cx="1086305" cy="340157"/>
                          </a:xfrm>
                          <a:custGeom>
                            <a:avLst/>
                            <a:gdLst>
                              <a:gd name="connsiteX0" fmla="*/ 600945 w 1201890"/>
                              <a:gd name="connsiteY0" fmla="*/ 340157 h 340157"/>
                              <a:gd name="connsiteX1" fmla="*/ 1201890 w 1201890"/>
                              <a:gd name="connsiteY1" fmla="*/ 170079 h 340157"/>
                              <a:gd name="connsiteX2" fmla="*/ 600945 w 1201890"/>
                              <a:gd name="connsiteY2" fmla="*/ 0 h 340157"/>
                              <a:gd name="connsiteX3" fmla="*/ 0 w 1201890"/>
                              <a:gd name="connsiteY3" fmla="*/ 170079 h 340157"/>
                              <a:gd name="connsiteX4" fmla="*/ 600945 w 1201890"/>
                              <a:gd name="connsiteY4" fmla="*/ 170079 h 340157"/>
                              <a:gd name="rtl" fmla="*/ -15000 w 1201890"/>
                              <a:gd name="rtr" fmla="*/ 1216890 w 1201890"/>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1201890" h="340157">
                                <a:moveTo>
                                  <a:pt x="0" y="340157"/>
                                </a:moveTo>
                                <a:lnTo>
                                  <a:pt x="1201890" y="340157"/>
                                </a:lnTo>
                                <a:lnTo>
                                  <a:pt x="1201890" y="0"/>
                                </a:lnTo>
                                <a:lnTo>
                                  <a:pt x="0" y="0"/>
                                </a:lnTo>
                                <a:lnTo>
                                  <a:pt x="0" y="340157"/>
                                </a:lnTo>
                                <a:close/>
                              </a:path>
                            </a:pathLst>
                          </a:custGeom>
                          <a:solidFill>
                            <a:srgbClr val="FFFFFF"/>
                          </a:solidFill>
                          <a:ln w="3333" cap="sq">
                            <a:solidFill>
                              <a:srgbClr val="000000"/>
                            </a:solidFill>
                          </a:ln>
                        </wps:spPr>
                        <wps:txbx>
                          <w:txbxContent>
                            <w:p>
                              <w:pPr>
                                <w:snapToGrid w:val="0"/>
                                <w:spacing w:line="264" w:lineRule="auto"/>
                                <w:jc w:val="center"/>
                                <w:rPr>
                                  <w:sz w:val="12"/>
                                </w:rPr>
                              </w:pPr>
                              <w:r>
                                <w:rPr>
                                  <w:rFonts w:ascii="Calibri" w:eastAsia="Calibri" w:hAnsi="Calibri"/>
                                  <w:color w:val="000000"/>
                                  <w:sz w:val="12"/>
                                  <w:szCs w:val="12"/>
                                </w:rPr>
                                <w:t>0. Service authorization and parameter provisioning</w:t>
                              </w:r>
                            </w:p>
                          </w:txbxContent>
                        </wps:txbx>
                        <wps:bodyPr wrap="square" lIns="0" tIns="0" rIns="0" bIns="0" rtlCol="0" anchor="ctr"/>
                      </wps:wsp>
                      <wps:wsp>
                        <wps:cNvPr id="124" name="任意多边形 124"/>
                        <wps:cNvSpPr/>
                        <wps:spPr>
                          <a:xfrm>
                            <a:off x="574598" y="818378"/>
                            <a:ext cx="56693" cy="470551"/>
                          </a:xfrm>
                          <a:custGeom>
                            <a:avLst/>
                            <a:gdLst>
                              <a:gd name="connsiteX0" fmla="*/ 28346 w 56693"/>
                              <a:gd name="connsiteY0" fmla="*/ 470551 h 470551"/>
                              <a:gd name="connsiteX1" fmla="*/ 56693 w 56693"/>
                              <a:gd name="connsiteY1" fmla="*/ 235276 h 470551"/>
                              <a:gd name="connsiteX2" fmla="*/ 28346 w 56693"/>
                              <a:gd name="connsiteY2" fmla="*/ 0 h 470551"/>
                              <a:gd name="connsiteX3" fmla="*/ 0 w 56693"/>
                              <a:gd name="connsiteY3" fmla="*/ 235276 h 470551"/>
                              <a:gd name="connsiteX4" fmla="*/ 28346 w 56693"/>
                              <a:gd name="connsiteY4" fmla="*/ 235276 h 47055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6693" h="470551">
                                <a:moveTo>
                                  <a:pt x="0" y="470551"/>
                                </a:moveTo>
                                <a:lnTo>
                                  <a:pt x="56693" y="470551"/>
                                </a:lnTo>
                                <a:lnTo>
                                  <a:pt x="56693" y="0"/>
                                </a:lnTo>
                                <a:lnTo>
                                  <a:pt x="0" y="0"/>
                                </a:lnTo>
                                <a:lnTo>
                                  <a:pt x="0" y="470551"/>
                                </a:lnTo>
                                <a:close/>
                              </a:path>
                            </a:pathLst>
                          </a:custGeom>
                          <a:solidFill>
                            <a:srgbClr val="000000"/>
                          </a:solidFill>
                          <a:ln w="3333" cap="sq">
                            <a:solidFill>
                              <a:srgbClr val="C8C8C8"/>
                            </a:solidFill>
                          </a:ln>
                        </wps:spPr>
                        <wps:bodyPr/>
                      </wps:wsp>
                      <wps:wsp>
                        <wps:cNvPr id="125" name="任意多边形 125"/>
                        <wps:cNvSpPr/>
                        <wps:spPr>
                          <a:xfrm rot="29945">
                            <a:off x="631234" y="1060740"/>
                            <a:ext cx="1627148" cy="6000"/>
                          </a:xfrm>
                          <a:custGeom>
                            <a:avLst/>
                            <a:gdLst/>
                            <a:ahLst/>
                            <a:cxnLst/>
                            <a:rect l="l" t="t" r="r" b="b"/>
                            <a:pathLst>
                              <a:path w="1627148" h="6000" fill="none">
                                <a:moveTo>
                                  <a:pt x="0" y="0"/>
                                </a:moveTo>
                                <a:lnTo>
                                  <a:pt x="1627148" y="0"/>
                                </a:lnTo>
                              </a:path>
                            </a:pathLst>
                          </a:custGeom>
                          <a:solidFill>
                            <a:srgbClr val="4672C4"/>
                          </a:solidFill>
                          <a:ln w="6000" cap="rnd">
                            <a:solidFill>
                              <a:srgbClr val="000000"/>
                            </a:solidFill>
                            <a:tailEnd type="triangle" w="med" len="med"/>
                          </a:ln>
                        </wps:spPr>
                        <wps:bodyPr/>
                      </wps:wsp>
                      <wps:wsp>
                        <wps:cNvPr id="127" name="任意多边形 127"/>
                        <wps:cNvSpPr/>
                        <wps:spPr>
                          <a:xfrm>
                            <a:off x="716331" y="818378"/>
                            <a:ext cx="1474016" cy="226772"/>
                          </a:xfrm>
                          <a:custGeom>
                            <a:avLst/>
                            <a:gdLst>
                              <a:gd name="rtl" fmla="*/ -15000 w 1474016"/>
                              <a:gd name="rtr" fmla="*/ 1489016 w 1474016"/>
                              <a:gd name="rtb" fmla="*/ 297188 h 226772"/>
                            </a:gdLst>
                            <a:ahLst/>
                            <a:cxnLst/>
                            <a:rect l="rtl" t="t" r="rtr" b="rtb"/>
                            <a:pathLst>
                              <a:path w="1474016" h="226772">
                                <a:moveTo>
                                  <a:pt x="0" y="226772"/>
                                </a:moveTo>
                                <a:lnTo>
                                  <a:pt x="1474016" y="226772"/>
                                </a:lnTo>
                                <a:lnTo>
                                  <a:pt x="1474016" y="0"/>
                                </a:lnTo>
                                <a:lnTo>
                                  <a:pt x="0" y="0"/>
                                </a:lnTo>
                                <a:lnTo>
                                  <a:pt x="0" y="226772"/>
                                </a:lnTo>
                                <a:close/>
                              </a:path>
                            </a:pathLst>
                          </a:custGeom>
                          <a:noFill/>
                          <a:ln w="0" cap="sq">
                            <a:noFill/>
                          </a:ln>
                        </wps:spPr>
                        <wps:txbx>
                          <w:txbxContent>
                            <w:p>
                              <w:pPr>
                                <w:snapToGrid w:val="0"/>
                                <w:spacing w:line="221" w:lineRule="auto"/>
                                <w:jc w:val="center"/>
                                <w:rPr>
                                  <w:sz w:val="12"/>
                                </w:rPr>
                              </w:pPr>
                              <w:r>
                                <w:rPr>
                                  <w:rFonts w:ascii="Calibri" w:eastAsia="Calibri" w:hAnsi="Calibri"/>
                                  <w:color w:val="000000"/>
                                  <w:sz w:val="12"/>
                                  <w:szCs w:val="12"/>
                                </w:rPr>
                                <w:t>1, Direct Communication Request (</w:t>
                              </w:r>
                              <w:proofErr w:type="spellStart"/>
                              <w:r>
                                <w:rPr>
                                  <w:rFonts w:ascii="Calibri" w:eastAsia="Calibri" w:hAnsi="Calibri"/>
                                  <w:color w:val="000000"/>
                                  <w:sz w:val="12"/>
                                  <w:szCs w:val="12"/>
                                </w:rPr>
                                <w:t>relay_indication</w:t>
                              </w:r>
                              <w:proofErr w:type="spellEnd"/>
                              <w:r>
                                <w:rPr>
                                  <w:rFonts w:ascii="Calibri" w:eastAsia="Calibri" w:hAnsi="Calibri"/>
                                  <w:color w:val="000000"/>
                                  <w:sz w:val="12"/>
                                  <w:szCs w:val="12"/>
                                </w:rPr>
                                <w:t xml:space="preserve"> enabled)</w:t>
                              </w:r>
                            </w:p>
                          </w:txbxContent>
                        </wps:txbx>
                        <wps:bodyPr wrap="square" lIns="0" tIns="0" rIns="0" bIns="0" rtlCol="0" anchor="ctr"/>
                      </wps:wsp>
                      <wps:wsp>
                        <wps:cNvPr id="128" name="任意多边形 128"/>
                        <wps:cNvSpPr/>
                        <wps:spPr>
                          <a:xfrm rot="16951">
                            <a:off x="631259" y="1196803"/>
                            <a:ext cx="2874366" cy="6000"/>
                          </a:xfrm>
                          <a:custGeom>
                            <a:avLst/>
                            <a:gdLst/>
                            <a:ahLst/>
                            <a:cxnLst/>
                            <a:rect l="l" t="t" r="r" b="b"/>
                            <a:pathLst>
                              <a:path w="2874366" h="6000" fill="none">
                                <a:moveTo>
                                  <a:pt x="0" y="0"/>
                                </a:moveTo>
                                <a:lnTo>
                                  <a:pt x="2874366" y="0"/>
                                </a:lnTo>
                              </a:path>
                            </a:pathLst>
                          </a:custGeom>
                          <a:solidFill>
                            <a:srgbClr val="4672C4"/>
                          </a:solidFill>
                          <a:ln w="6000" cap="rnd">
                            <a:solidFill>
                              <a:srgbClr val="000000"/>
                            </a:solidFill>
                            <a:tailEnd type="triangle" w="med" len="med"/>
                          </a:ln>
                        </wps:spPr>
                        <wps:bodyPr/>
                      </wps:wsp>
                      <wps:wsp>
                        <wps:cNvPr id="129" name="任意多边形 129"/>
                        <wps:cNvSpPr/>
                        <wps:spPr>
                          <a:xfrm rot="4571">
                            <a:off x="602939" y="1291764"/>
                            <a:ext cx="4263311" cy="6000"/>
                          </a:xfrm>
                          <a:custGeom>
                            <a:avLst/>
                            <a:gdLst/>
                            <a:ahLst/>
                            <a:cxnLst/>
                            <a:rect l="l" t="t" r="r" b="b"/>
                            <a:pathLst>
                              <a:path w="4263311" h="6000" fill="none">
                                <a:moveTo>
                                  <a:pt x="0" y="0"/>
                                </a:moveTo>
                                <a:lnTo>
                                  <a:pt x="4263311" y="0"/>
                                </a:lnTo>
                              </a:path>
                            </a:pathLst>
                          </a:custGeom>
                          <a:solidFill>
                            <a:srgbClr val="4672C4"/>
                          </a:solidFill>
                          <a:ln w="6000" cap="rnd">
                            <a:solidFill>
                              <a:srgbClr val="000000"/>
                            </a:solidFill>
                            <a:custDash>
                              <a:ds d="1100000" sp="500000"/>
                            </a:custDash>
                            <a:tailEnd type="triangle" w="med" len="med"/>
                          </a:ln>
                        </wps:spPr>
                        <wps:bodyPr/>
                      </wps:wsp>
                      <wps:wsp>
                        <wps:cNvPr id="130" name="Rectangle.20"/>
                        <wps:cNvSpPr/>
                        <wps:spPr>
                          <a:xfrm>
                            <a:off x="1804642" y="1376775"/>
                            <a:ext cx="850801" cy="340157"/>
                          </a:xfrm>
                          <a:custGeom>
                            <a:avLst/>
                            <a:gdLst>
                              <a:gd name="connsiteX0" fmla="*/ 453543 w 907087"/>
                              <a:gd name="connsiteY0" fmla="*/ 340157 h 340157"/>
                              <a:gd name="connsiteX1" fmla="*/ 907087 w 907087"/>
                              <a:gd name="connsiteY1" fmla="*/ 170079 h 340157"/>
                              <a:gd name="connsiteX2" fmla="*/ 453543 w 907087"/>
                              <a:gd name="connsiteY2" fmla="*/ 0 h 340157"/>
                              <a:gd name="connsiteX3" fmla="*/ 0 w 907087"/>
                              <a:gd name="connsiteY3" fmla="*/ 170079 h 340157"/>
                              <a:gd name="connsiteX4" fmla="*/ 453543 w 907087"/>
                              <a:gd name="connsiteY4" fmla="*/ 170079 h 340157"/>
                              <a:gd name="rtl" fmla="*/ -15000 w 907087"/>
                              <a:gd name="rtr" fmla="*/ 922087 w 907087"/>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907087" h="340157">
                                <a:moveTo>
                                  <a:pt x="0" y="340157"/>
                                </a:moveTo>
                                <a:lnTo>
                                  <a:pt x="907087" y="340157"/>
                                </a:lnTo>
                                <a:lnTo>
                                  <a:pt x="907087" y="0"/>
                                </a:lnTo>
                                <a:lnTo>
                                  <a:pt x="0" y="0"/>
                                </a:lnTo>
                                <a:lnTo>
                                  <a:pt x="0" y="340157"/>
                                </a:lnTo>
                                <a:close/>
                              </a:path>
                            </a:pathLst>
                          </a:custGeom>
                          <a:solidFill>
                            <a:srgbClr val="FFFFFF"/>
                          </a:solidFill>
                          <a:ln w="3333" cap="sq">
                            <a:solidFill>
                              <a:srgbClr val="000000"/>
                            </a:solidFill>
                          </a:ln>
                        </wps:spPr>
                        <wps:txbx>
                          <w:txbxContent>
                            <w:p>
                              <w:pPr>
                                <w:snapToGrid w:val="0"/>
                                <w:spacing w:line="264" w:lineRule="auto"/>
                                <w:jc w:val="center"/>
                                <w:rPr>
                                  <w:sz w:val="12"/>
                                </w:rPr>
                              </w:pPr>
                              <w:r>
                                <w:rPr>
                                  <w:rFonts w:ascii="Calibri" w:eastAsia="Calibri" w:hAnsi="Calibri"/>
                                  <w:color w:val="000000"/>
                                  <w:sz w:val="12"/>
                                  <w:szCs w:val="12"/>
                                </w:rPr>
                                <w:t>2. Decide to participate in the procedure</w:t>
                              </w:r>
                            </w:p>
                          </w:txbxContent>
                        </wps:txbx>
                        <wps:bodyPr wrap="square" lIns="0" tIns="0" rIns="0" bIns="0" rtlCol="0" anchor="ctr"/>
                      </wps:wsp>
                      <wps:wsp>
                        <wps:cNvPr id="132" name="任意多边形 132"/>
                        <wps:cNvSpPr/>
                        <wps:spPr>
                          <a:xfrm>
                            <a:off x="2258378" y="1906882"/>
                            <a:ext cx="2607874" cy="6000"/>
                          </a:xfrm>
                          <a:custGeom>
                            <a:avLst/>
                            <a:gdLst/>
                            <a:ahLst/>
                            <a:cxnLst/>
                            <a:rect l="l" t="t" r="r" b="b"/>
                            <a:pathLst>
                              <a:path w="2607874" h="6000" fill="none">
                                <a:moveTo>
                                  <a:pt x="0" y="0"/>
                                </a:moveTo>
                                <a:lnTo>
                                  <a:pt x="2607874" y="0"/>
                                </a:lnTo>
                              </a:path>
                            </a:pathLst>
                          </a:custGeom>
                          <a:solidFill>
                            <a:srgbClr val="4672C4"/>
                          </a:solidFill>
                          <a:ln w="6000" cap="rnd">
                            <a:solidFill>
                              <a:srgbClr val="000000"/>
                            </a:solidFill>
                            <a:tailEnd type="triangle" w="med" len="med"/>
                          </a:ln>
                        </wps:spPr>
                        <wps:bodyPr/>
                      </wps:wsp>
                      <wps:wsp>
                        <wps:cNvPr id="133" name="任意多边形 133"/>
                        <wps:cNvSpPr/>
                        <wps:spPr>
                          <a:xfrm>
                            <a:off x="2190347" y="1725465"/>
                            <a:ext cx="2018268" cy="226772"/>
                          </a:xfrm>
                          <a:custGeom>
                            <a:avLst/>
                            <a:gdLst>
                              <a:gd name="rtl" fmla="*/ -15000 w 2018268"/>
                              <a:gd name="rtr" fmla="*/ 2033268 w 2018268"/>
                            </a:gdLst>
                            <a:ahLst/>
                            <a:cxnLst/>
                            <a:rect l="rtl" t="t" r="rtr" b="b"/>
                            <a:pathLst>
                              <a:path w="2018268" h="226772">
                                <a:moveTo>
                                  <a:pt x="0" y="226772"/>
                                </a:moveTo>
                                <a:lnTo>
                                  <a:pt x="2018268" y="226772"/>
                                </a:lnTo>
                                <a:lnTo>
                                  <a:pt x="2018268" y="0"/>
                                </a:lnTo>
                                <a:lnTo>
                                  <a:pt x="0" y="0"/>
                                </a:lnTo>
                                <a:lnTo>
                                  <a:pt x="0" y="226772"/>
                                </a:lnTo>
                                <a:close/>
                              </a:path>
                            </a:pathLst>
                          </a:custGeom>
                          <a:noFill/>
                          <a:ln w="0" cap="sq">
                            <a:noFill/>
                          </a:ln>
                        </wps:spPr>
                        <wps:txbx>
                          <w:txbxContent>
                            <w:p>
                              <w:pPr>
                                <w:snapToGrid w:val="0"/>
                                <w:spacing w:line="221" w:lineRule="auto"/>
                                <w:jc w:val="center"/>
                                <w:rPr>
                                  <w:sz w:val="12"/>
                                </w:rPr>
                              </w:pPr>
                              <w:r>
                                <w:rPr>
                                  <w:rFonts w:ascii="Calibri" w:eastAsia="Calibri" w:hAnsi="Calibri"/>
                                  <w:color w:val="000000"/>
                                  <w:sz w:val="12"/>
                                  <w:szCs w:val="12"/>
                                </w:rPr>
                                <w:t>3, Direct Communication Request</w:t>
                              </w:r>
                            </w:p>
                          </w:txbxContent>
                        </wps:txbx>
                        <wps:bodyPr wrap="square" lIns="0" tIns="0" rIns="0" bIns="0" rtlCol="0" anchor="ctr"/>
                      </wps:wsp>
                      <wps:wsp>
                        <wps:cNvPr id="134" name="任意多边形 134"/>
                        <wps:cNvSpPr/>
                        <wps:spPr>
                          <a:xfrm>
                            <a:off x="3505622" y="2201685"/>
                            <a:ext cx="1360630" cy="6000"/>
                          </a:xfrm>
                          <a:custGeom>
                            <a:avLst/>
                            <a:gdLst/>
                            <a:ahLst/>
                            <a:cxnLst/>
                            <a:rect l="l" t="t" r="r" b="b"/>
                            <a:pathLst>
                              <a:path w="1360630" h="6000" fill="none">
                                <a:moveTo>
                                  <a:pt x="0" y="0"/>
                                </a:moveTo>
                                <a:lnTo>
                                  <a:pt x="1360630" y="0"/>
                                </a:lnTo>
                              </a:path>
                            </a:pathLst>
                          </a:custGeom>
                          <a:solidFill>
                            <a:srgbClr val="4672C4"/>
                          </a:solidFill>
                          <a:ln w="6000" cap="rnd">
                            <a:solidFill>
                              <a:srgbClr val="000000"/>
                            </a:solidFill>
                            <a:tailEnd type="triangle" w="med" len="med"/>
                          </a:ln>
                        </wps:spPr>
                        <wps:bodyPr/>
                      </wps:wsp>
                      <wps:wsp>
                        <wps:cNvPr id="135" name="任意多边形 135"/>
                        <wps:cNvSpPr/>
                        <wps:spPr>
                          <a:xfrm>
                            <a:off x="3403575" y="1974913"/>
                            <a:ext cx="1474016" cy="226772"/>
                          </a:xfrm>
                          <a:custGeom>
                            <a:avLst/>
                            <a:gdLst>
                              <a:gd name="rtl" fmla="*/ -15000 w 1474016"/>
                              <a:gd name="rtr" fmla="*/ 1489016 w 1474016"/>
                            </a:gdLst>
                            <a:ahLst/>
                            <a:cxnLst/>
                            <a:rect l="rtl" t="t" r="rtr" b="b"/>
                            <a:pathLst>
                              <a:path w="1474016" h="226772">
                                <a:moveTo>
                                  <a:pt x="0" y="226772"/>
                                </a:moveTo>
                                <a:lnTo>
                                  <a:pt x="1474016" y="226772"/>
                                </a:lnTo>
                                <a:lnTo>
                                  <a:pt x="1474016" y="0"/>
                                </a:lnTo>
                                <a:lnTo>
                                  <a:pt x="0" y="0"/>
                                </a:lnTo>
                                <a:lnTo>
                                  <a:pt x="0" y="226772"/>
                                </a:lnTo>
                                <a:close/>
                              </a:path>
                            </a:pathLst>
                          </a:custGeom>
                          <a:noFill/>
                          <a:ln w="0" cap="sq">
                            <a:noFill/>
                          </a:ln>
                        </wps:spPr>
                        <wps:txbx>
                          <w:txbxContent>
                            <w:p>
                              <w:pPr>
                                <w:snapToGrid w:val="0"/>
                                <w:spacing w:line="221" w:lineRule="auto"/>
                                <w:jc w:val="center"/>
                                <w:rPr>
                                  <w:sz w:val="12"/>
                                </w:rPr>
                              </w:pPr>
                              <w:r>
                                <w:rPr>
                                  <w:rFonts w:ascii="Calibri" w:eastAsia="Calibri" w:hAnsi="Calibri"/>
                                  <w:color w:val="000000"/>
                                  <w:sz w:val="12"/>
                                  <w:szCs w:val="12"/>
                                </w:rPr>
                                <w:t>3, Direct Communication Request</w:t>
                              </w:r>
                            </w:p>
                          </w:txbxContent>
                        </wps:txbx>
                        <wps:bodyPr wrap="square" lIns="0" tIns="0" rIns="0" bIns="0" rtlCol="0" anchor="ctr"/>
                      </wps:wsp>
                      <wps:wsp>
                        <wps:cNvPr id="136" name="Rectangle.26"/>
                        <wps:cNvSpPr/>
                        <wps:spPr>
                          <a:xfrm>
                            <a:off x="4403404" y="2246901"/>
                            <a:ext cx="820674" cy="340157"/>
                          </a:xfrm>
                          <a:custGeom>
                            <a:avLst/>
                            <a:gdLst>
                              <a:gd name="connsiteX0" fmla="*/ 453543 w 907087"/>
                              <a:gd name="connsiteY0" fmla="*/ 340157 h 340157"/>
                              <a:gd name="connsiteX1" fmla="*/ 907087 w 907087"/>
                              <a:gd name="connsiteY1" fmla="*/ 170079 h 340157"/>
                              <a:gd name="connsiteX2" fmla="*/ 453543 w 907087"/>
                              <a:gd name="connsiteY2" fmla="*/ 0 h 340157"/>
                              <a:gd name="connsiteX3" fmla="*/ 0 w 907087"/>
                              <a:gd name="connsiteY3" fmla="*/ 170079 h 340157"/>
                              <a:gd name="connsiteX4" fmla="*/ 453543 w 907087"/>
                              <a:gd name="connsiteY4" fmla="*/ 170079 h 340157"/>
                              <a:gd name="rtl" fmla="*/ -15000 w 907087"/>
                              <a:gd name="rtr" fmla="*/ 922087 w 907087"/>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907087" h="340157">
                                <a:moveTo>
                                  <a:pt x="0" y="340157"/>
                                </a:moveTo>
                                <a:lnTo>
                                  <a:pt x="907087" y="340157"/>
                                </a:lnTo>
                                <a:lnTo>
                                  <a:pt x="907087" y="0"/>
                                </a:lnTo>
                                <a:lnTo>
                                  <a:pt x="0" y="0"/>
                                </a:lnTo>
                                <a:lnTo>
                                  <a:pt x="0" y="340157"/>
                                </a:lnTo>
                                <a:close/>
                              </a:path>
                            </a:pathLst>
                          </a:custGeom>
                          <a:solidFill>
                            <a:srgbClr val="FFFFFF"/>
                          </a:solidFill>
                          <a:ln w="3333" cap="sq">
                            <a:solidFill>
                              <a:srgbClr val="000000"/>
                            </a:solidFill>
                          </a:ln>
                        </wps:spPr>
                        <wps:txbx>
                          <w:txbxContent>
                            <w:p>
                              <w:pPr>
                                <w:snapToGrid w:val="0"/>
                                <w:spacing w:line="264" w:lineRule="auto"/>
                                <w:jc w:val="center"/>
                                <w:rPr>
                                  <w:sz w:val="12"/>
                                </w:rPr>
                              </w:pPr>
                              <w:r>
                                <w:rPr>
                                  <w:rFonts w:ascii="Calibri" w:eastAsia="Calibri" w:hAnsi="Calibri"/>
                                  <w:color w:val="000000"/>
                                  <w:sz w:val="12"/>
                                  <w:szCs w:val="12"/>
                                </w:rPr>
                                <w:t>4. Decide which path to choose</w:t>
                              </w:r>
                            </w:p>
                          </w:txbxContent>
                        </wps:txbx>
                        <wps:bodyPr wrap="square" lIns="0" tIns="0" rIns="0" bIns="0" rtlCol="0" anchor="ctr"/>
                      </wps:wsp>
                      <wps:wsp>
                        <wps:cNvPr id="137" name="任意多边形 137"/>
                        <wps:cNvSpPr/>
                        <wps:spPr>
                          <a:xfrm rot="10800000">
                            <a:off x="2258378" y="2910016"/>
                            <a:ext cx="2607874" cy="6000"/>
                          </a:xfrm>
                          <a:custGeom>
                            <a:avLst/>
                            <a:gdLst/>
                            <a:ahLst/>
                            <a:cxnLst/>
                            <a:rect l="l" t="t" r="r" b="b"/>
                            <a:pathLst>
                              <a:path w="2607874" h="6000" fill="none">
                                <a:moveTo>
                                  <a:pt x="0" y="0"/>
                                </a:moveTo>
                                <a:lnTo>
                                  <a:pt x="2607874" y="0"/>
                                </a:lnTo>
                              </a:path>
                            </a:pathLst>
                          </a:custGeom>
                          <a:solidFill>
                            <a:srgbClr val="4672C4"/>
                          </a:solidFill>
                          <a:ln w="6000" cap="rnd">
                            <a:solidFill>
                              <a:srgbClr val="000000"/>
                            </a:solidFill>
                            <a:tailEnd type="triangle" w="med" len="med"/>
                          </a:ln>
                        </wps:spPr>
                        <wps:bodyPr/>
                      </wps:wsp>
                      <wps:wsp>
                        <wps:cNvPr id="138" name="任意多边形 138"/>
                        <wps:cNvSpPr/>
                        <wps:spPr>
                          <a:xfrm rot="10800000">
                            <a:off x="602945" y="3488284"/>
                            <a:ext cx="4263307" cy="6000"/>
                          </a:xfrm>
                          <a:custGeom>
                            <a:avLst/>
                            <a:gdLst/>
                            <a:ahLst/>
                            <a:cxnLst/>
                            <a:rect l="l" t="t" r="r" b="b"/>
                            <a:pathLst>
                              <a:path w="4263307" h="6000" fill="none">
                                <a:moveTo>
                                  <a:pt x="0" y="0"/>
                                </a:moveTo>
                                <a:lnTo>
                                  <a:pt x="4263307" y="0"/>
                                </a:lnTo>
                              </a:path>
                            </a:pathLst>
                          </a:custGeom>
                          <a:solidFill>
                            <a:srgbClr val="4672C4"/>
                          </a:solidFill>
                          <a:ln w="6000" cap="rnd">
                            <a:solidFill>
                              <a:srgbClr val="000000"/>
                            </a:solidFill>
                            <a:custDash>
                              <a:ds d="2100000" sp="1000000"/>
                            </a:custDash>
                            <a:tailEnd type="triangle" w="med" len="med"/>
                          </a:ln>
                        </wps:spPr>
                        <wps:bodyPr/>
                      </wps:wsp>
                      <wps:wsp>
                        <wps:cNvPr id="140" name="任意多边形 140"/>
                        <wps:cNvSpPr/>
                        <wps:spPr>
                          <a:xfrm>
                            <a:off x="2360425" y="2791291"/>
                            <a:ext cx="2018268" cy="102047"/>
                          </a:xfrm>
                          <a:custGeom>
                            <a:avLst/>
                            <a:gdLst>
                              <a:gd name="rtl" fmla="*/ -15000 w 2018268"/>
                              <a:gd name="rtr" fmla="*/ 2033268 w 2018268"/>
                              <a:gd name="rtb" fmla="*/ 131063 h 102047"/>
                            </a:gdLst>
                            <a:ahLst/>
                            <a:cxnLst/>
                            <a:rect l="rtl" t="t" r="rtr" b="rtb"/>
                            <a:pathLst>
                              <a:path w="2018268" h="102047">
                                <a:moveTo>
                                  <a:pt x="0" y="102047"/>
                                </a:moveTo>
                                <a:lnTo>
                                  <a:pt x="2018268" y="102047"/>
                                </a:lnTo>
                                <a:lnTo>
                                  <a:pt x="2018268" y="0"/>
                                </a:lnTo>
                                <a:lnTo>
                                  <a:pt x="0" y="0"/>
                                </a:lnTo>
                                <a:lnTo>
                                  <a:pt x="0" y="102047"/>
                                </a:lnTo>
                                <a:close/>
                              </a:path>
                            </a:pathLst>
                          </a:custGeom>
                          <a:noFill/>
                          <a:ln w="0" cap="sq">
                            <a:noFill/>
                          </a:ln>
                        </wps:spPr>
                        <wps:txbx>
                          <w:txbxContent>
                            <w:p>
                              <w:pPr>
                                <w:snapToGrid w:val="0"/>
                                <w:spacing w:line="221" w:lineRule="auto"/>
                                <w:jc w:val="center"/>
                                <w:rPr>
                                  <w:sz w:val="12"/>
                                </w:rPr>
                              </w:pPr>
                              <w:r>
                                <w:rPr>
                                  <w:rFonts w:ascii="Calibri" w:eastAsia="Calibri" w:hAnsi="Calibri"/>
                                  <w:color w:val="000000"/>
                                  <w:sz w:val="12"/>
                                  <w:szCs w:val="12"/>
                                </w:rPr>
                                <w:t>4, Direct Communication Accept</w:t>
                              </w:r>
                            </w:p>
                          </w:txbxContent>
                        </wps:txbx>
                        <wps:bodyPr wrap="square" lIns="0" tIns="0" rIns="0" bIns="0" rtlCol="0" anchor="ctr"/>
                      </wps:wsp>
                      <wps:wsp>
                        <wps:cNvPr id="141" name="任意多边形 141"/>
                        <wps:cNvSpPr/>
                        <wps:spPr>
                          <a:xfrm>
                            <a:off x="1963575" y="3340916"/>
                            <a:ext cx="1870866" cy="226772"/>
                          </a:xfrm>
                          <a:custGeom>
                            <a:avLst/>
                            <a:gdLst>
                              <a:gd name="rtl" fmla="*/ -15000 w 1870866"/>
                              <a:gd name="rtr" fmla="*/ 1885866 w 1870866"/>
                            </a:gdLst>
                            <a:ahLst/>
                            <a:cxnLst/>
                            <a:rect l="rtl" t="t" r="rtr" b="b"/>
                            <a:pathLst>
                              <a:path w="1870866" h="226772">
                                <a:moveTo>
                                  <a:pt x="0" y="226772"/>
                                </a:moveTo>
                                <a:lnTo>
                                  <a:pt x="1870866" y="226772"/>
                                </a:lnTo>
                                <a:lnTo>
                                  <a:pt x="1870866" y="0"/>
                                </a:lnTo>
                                <a:lnTo>
                                  <a:pt x="0" y="0"/>
                                </a:lnTo>
                                <a:lnTo>
                                  <a:pt x="0" y="226772"/>
                                </a:lnTo>
                                <a:close/>
                              </a:path>
                            </a:pathLst>
                          </a:custGeom>
                          <a:noFill/>
                          <a:ln w="0" cap="sq">
                            <a:noFill/>
                          </a:ln>
                        </wps:spPr>
                        <wps:txbx>
                          <w:txbxContent>
                            <w:p>
                              <w:pPr>
                                <w:snapToGrid w:val="0"/>
                                <w:spacing w:line="221" w:lineRule="auto"/>
                                <w:jc w:val="center"/>
                                <w:rPr>
                                  <w:sz w:val="12"/>
                                </w:rPr>
                              </w:pPr>
                              <w:r>
                                <w:rPr>
                                  <w:rFonts w:ascii="Calibri" w:eastAsia="Calibri" w:hAnsi="Calibri"/>
                                  <w:color w:val="000000"/>
                                  <w:sz w:val="12"/>
                                  <w:szCs w:val="12"/>
                                </w:rPr>
                                <w:t>4, Direct Communication Accept</w:t>
                              </w:r>
                            </w:p>
                          </w:txbxContent>
                        </wps:txbx>
                        <wps:bodyPr wrap="square" lIns="0" tIns="0" rIns="0" bIns="0" rtlCol="0" anchor="ctr"/>
                      </wps:wsp>
                      <wps:wsp>
                        <wps:cNvPr id="142" name="Rectangle.32"/>
                        <wps:cNvSpPr/>
                        <wps:spPr>
                          <a:xfrm>
                            <a:off x="194756" y="3562315"/>
                            <a:ext cx="1020472" cy="226772"/>
                          </a:xfrm>
                          <a:custGeom>
                            <a:avLst/>
                            <a:gdLst>
                              <a:gd name="connsiteX0" fmla="*/ 510236 w 1020472"/>
                              <a:gd name="connsiteY0" fmla="*/ 226772 h 226772"/>
                              <a:gd name="connsiteX1" fmla="*/ 1020472 w 1020472"/>
                              <a:gd name="connsiteY1" fmla="*/ 113386 h 226772"/>
                              <a:gd name="connsiteX2" fmla="*/ 510236 w 1020472"/>
                              <a:gd name="connsiteY2" fmla="*/ 0 h 226772"/>
                              <a:gd name="connsiteX3" fmla="*/ 0 w 1020472"/>
                              <a:gd name="connsiteY3" fmla="*/ 113386 h 226772"/>
                              <a:gd name="connsiteX4" fmla="*/ 510236 w 1020472"/>
                              <a:gd name="connsiteY4" fmla="*/ 113386 h 226772"/>
                              <a:gd name="rtl" fmla="*/ -15000 w 1020472"/>
                              <a:gd name="rtr" fmla="*/ 1035473 w 1020472"/>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1020472" h="226772">
                                <a:moveTo>
                                  <a:pt x="0" y="226772"/>
                                </a:moveTo>
                                <a:lnTo>
                                  <a:pt x="1020472" y="226772"/>
                                </a:lnTo>
                                <a:lnTo>
                                  <a:pt x="1020472" y="0"/>
                                </a:lnTo>
                                <a:lnTo>
                                  <a:pt x="0" y="0"/>
                                </a:lnTo>
                                <a:lnTo>
                                  <a:pt x="0" y="226772"/>
                                </a:lnTo>
                                <a:close/>
                              </a:path>
                            </a:pathLst>
                          </a:custGeom>
                          <a:solidFill>
                            <a:srgbClr val="FFFFFF"/>
                          </a:solidFill>
                          <a:ln w="3333" cap="sq">
                            <a:solidFill>
                              <a:srgbClr val="000000"/>
                            </a:solidFill>
                          </a:ln>
                        </wps:spPr>
                        <wps:txbx>
                          <w:txbxContent>
                            <w:p>
                              <w:pPr>
                                <w:snapToGrid w:val="0"/>
                                <w:spacing w:line="264" w:lineRule="auto"/>
                                <w:jc w:val="center"/>
                                <w:rPr>
                                  <w:sz w:val="12"/>
                                </w:rPr>
                              </w:pPr>
                              <w:r>
                                <w:rPr>
                                  <w:rFonts w:ascii="Calibri" w:eastAsia="Calibri" w:hAnsi="Calibri"/>
                                  <w:color w:val="000000"/>
                                  <w:sz w:val="12"/>
                                  <w:szCs w:val="12"/>
                                </w:rPr>
                                <w:t>5. Decide which path to use</w:t>
                              </w:r>
                            </w:p>
                          </w:txbxContent>
                        </wps:txbx>
                        <wps:bodyPr wrap="square" lIns="0" tIns="0" rIns="0" bIns="0" rtlCol="0" anchor="ctr"/>
                      </wps:wsp>
                      <wps:wsp>
                        <wps:cNvPr id="144" name="Rectangle.34"/>
                        <wps:cNvSpPr/>
                        <wps:spPr>
                          <a:xfrm>
                            <a:off x="194756" y="4083890"/>
                            <a:ext cx="4943622" cy="226772"/>
                          </a:xfrm>
                          <a:custGeom>
                            <a:avLst/>
                            <a:gdLst>
                              <a:gd name="connsiteX0" fmla="*/ 2471811 w 4943622"/>
                              <a:gd name="connsiteY0" fmla="*/ 226772 h 226772"/>
                              <a:gd name="connsiteX1" fmla="*/ 4943622 w 4943622"/>
                              <a:gd name="connsiteY1" fmla="*/ 113386 h 226772"/>
                              <a:gd name="connsiteX2" fmla="*/ 2471811 w 4943622"/>
                              <a:gd name="connsiteY2" fmla="*/ 0 h 226772"/>
                              <a:gd name="connsiteX3" fmla="*/ 0 w 4943622"/>
                              <a:gd name="connsiteY3" fmla="*/ 113386 h 226772"/>
                              <a:gd name="connsiteX4" fmla="*/ 2471811 w 4943622"/>
                              <a:gd name="connsiteY4" fmla="*/ 113386 h 226772"/>
                              <a:gd name="rtl" fmla="*/ -15000 w 4943622"/>
                              <a:gd name="rtr" fmla="*/ 4958623 w 4943622"/>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4943622" h="226772">
                                <a:moveTo>
                                  <a:pt x="0" y="226772"/>
                                </a:moveTo>
                                <a:lnTo>
                                  <a:pt x="4943622" y="226772"/>
                                </a:lnTo>
                                <a:lnTo>
                                  <a:pt x="4943622" y="0"/>
                                </a:lnTo>
                                <a:lnTo>
                                  <a:pt x="0" y="0"/>
                                </a:lnTo>
                                <a:lnTo>
                                  <a:pt x="0" y="226772"/>
                                </a:lnTo>
                                <a:close/>
                              </a:path>
                            </a:pathLst>
                          </a:custGeom>
                          <a:solidFill>
                            <a:srgbClr val="FFFFFF"/>
                          </a:solidFill>
                          <a:ln w="3333" cap="sq">
                            <a:solidFill>
                              <a:srgbClr val="000000"/>
                            </a:solidFill>
                          </a:ln>
                        </wps:spPr>
                        <wps:txbx>
                          <w:txbxContent>
                            <w:p>
                              <w:pPr>
                                <w:snapToGrid w:val="0"/>
                                <w:spacing w:line="264" w:lineRule="auto"/>
                                <w:jc w:val="center"/>
                                <w:rPr>
                                  <w:sz w:val="12"/>
                                </w:rPr>
                              </w:pPr>
                              <w:r>
                                <w:rPr>
                                  <w:rFonts w:ascii="Calibri" w:eastAsia="Calibri" w:hAnsi="Calibri"/>
                                  <w:color w:val="000000"/>
                                  <w:sz w:val="12"/>
                                  <w:szCs w:val="12"/>
                                </w:rPr>
                                <w:t>6b. End-to-end PC5 link establishment for L2 UE-to-UE Relay case</w:t>
                              </w:r>
                            </w:p>
                          </w:txbxContent>
                        </wps:txbx>
                        <wps:bodyPr wrap="square" lIns="0" tIns="0" rIns="0" bIns="0" rtlCol="0" anchor="ctr"/>
                      </wps:wsp>
                      <wpg:grpSp>
                        <wpg:cNvPr id="2" name="Group 2"/>
                        <wpg:cNvGrpSpPr/>
                        <wpg:grpSpPr>
                          <a:xfrm rot="10800000" flipH="1" flipV="1">
                            <a:off x="2243378" y="2621213"/>
                            <a:ext cx="2637874" cy="181417"/>
                            <a:chOff x="2243378" y="2621213"/>
                            <a:chExt cx="2637874" cy="181417"/>
                          </a:xfrm>
                        </wpg:grpSpPr>
                        <wps:wsp>
                          <wps:cNvPr id="1110" name="任意多边形 1110"/>
                          <wps:cNvSpPr/>
                          <wps:spPr>
                            <a:xfrm>
                              <a:off x="2258378" y="2621213"/>
                              <a:ext cx="2607874" cy="181417"/>
                            </a:xfrm>
                            <a:custGeom>
                              <a:avLst/>
                              <a:gdLst/>
                              <a:ahLst/>
                              <a:cxnLst/>
                              <a:rect l="l" t="t" r="r" b="b"/>
                              <a:pathLst>
                                <a:path w="2607874" h="181417">
                                  <a:moveTo>
                                    <a:pt x="0" y="90709"/>
                                  </a:moveTo>
                                  <a:lnTo>
                                    <a:pt x="90709" y="0"/>
                                  </a:lnTo>
                                  <a:lnTo>
                                    <a:pt x="90709" y="45354"/>
                                  </a:lnTo>
                                  <a:lnTo>
                                    <a:pt x="2517164" y="45354"/>
                                  </a:lnTo>
                                  <a:lnTo>
                                    <a:pt x="2517165" y="0"/>
                                  </a:lnTo>
                                  <a:lnTo>
                                    <a:pt x="2607874" y="90709"/>
                                  </a:lnTo>
                                  <a:lnTo>
                                    <a:pt x="2517165" y="181417"/>
                                  </a:lnTo>
                                  <a:lnTo>
                                    <a:pt x="2517165" y="136063"/>
                                  </a:lnTo>
                                  <a:lnTo>
                                    <a:pt x="90709" y="136063"/>
                                  </a:lnTo>
                                  <a:lnTo>
                                    <a:pt x="90709" y="181417"/>
                                  </a:lnTo>
                                  <a:lnTo>
                                    <a:pt x="0" y="90709"/>
                                  </a:lnTo>
                                  <a:close/>
                                </a:path>
                              </a:pathLst>
                            </a:custGeom>
                            <a:solidFill>
                              <a:srgbClr val="FFFFFF"/>
                            </a:solidFill>
                            <a:ln w="6000" cap="sq">
                              <a:solidFill>
                                <a:srgbClr val="000000"/>
                              </a:solidFill>
                              <a:custDash>
                                <a:ds d="1100000" sp="500000"/>
                              </a:custDash>
                            </a:ln>
                          </wps:spPr>
                          <wps:bodyPr/>
                        </wps:wsp>
                        <wps:wsp>
                          <wps:cNvPr id="3" name="Text 3"/>
                          <wps:cNvSpPr txBox="1"/>
                          <wps:spPr>
                            <a:xfrm rot="10800000" flipV="1">
                              <a:off x="2243378" y="2638991"/>
                              <a:ext cx="2637874" cy="147000"/>
                            </a:xfrm>
                            <a:prstGeom prst="rect">
                              <a:avLst/>
                            </a:prstGeom>
                            <a:noFill/>
                          </wps:spPr>
                          <wps:txbx>
                            <w:txbxContent>
                              <w:p>
                                <w:pPr>
                                  <w:snapToGrid w:val="0"/>
                                  <w:spacing w:line="264" w:lineRule="auto"/>
                                  <w:jc w:val="center"/>
                                  <w:rPr>
                                    <w:sz w:val="12"/>
                                  </w:rPr>
                                </w:pPr>
                                <w:r>
                                  <w:rPr>
                                    <w:rFonts w:ascii="Calibri" w:eastAsia="Calibri" w:hAnsi="Calibri"/>
                                    <w:color w:val="000000"/>
                                    <w:sz w:val="12"/>
                                    <w:szCs w:val="12"/>
                                  </w:rPr>
                                  <w:t>Security Establishment</w:t>
                                </w:r>
                              </w:p>
                            </w:txbxContent>
                          </wps:txbx>
                          <wps:bodyPr wrap="square" lIns="0" tIns="0" rIns="0" bIns="0" rtlCol="0" anchor="ctr"/>
                        </wps:wsp>
                      </wpg:grpSp>
                      <wpg:grpSp>
                        <wpg:cNvPr id="4" name="Group 4"/>
                        <wpg:cNvGrpSpPr/>
                        <wpg:grpSpPr>
                          <a:xfrm rot="10800000" flipH="1" flipV="1">
                            <a:off x="587945" y="2859323"/>
                            <a:ext cx="1685433" cy="181417"/>
                            <a:chOff x="587945" y="2859323"/>
                            <a:chExt cx="1685433" cy="181417"/>
                          </a:xfrm>
                        </wpg:grpSpPr>
                        <wps:wsp>
                          <wps:cNvPr id="1111" name="Simple Double Arrow.1001"/>
                          <wps:cNvSpPr/>
                          <wps:spPr>
                            <a:xfrm>
                              <a:off x="602945" y="2859323"/>
                              <a:ext cx="1655433" cy="181417"/>
                            </a:xfrm>
                            <a:custGeom>
                              <a:avLst/>
                              <a:gdLst/>
                              <a:ahLst/>
                              <a:cxnLst/>
                              <a:rect l="l" t="t" r="r" b="b"/>
                              <a:pathLst>
                                <a:path w="1655433" h="181417">
                                  <a:moveTo>
                                    <a:pt x="0" y="90709"/>
                                  </a:moveTo>
                                  <a:lnTo>
                                    <a:pt x="90709" y="0"/>
                                  </a:lnTo>
                                  <a:lnTo>
                                    <a:pt x="90709" y="45354"/>
                                  </a:lnTo>
                                  <a:lnTo>
                                    <a:pt x="1564724" y="45354"/>
                                  </a:lnTo>
                                  <a:lnTo>
                                    <a:pt x="1564724" y="0"/>
                                  </a:lnTo>
                                  <a:lnTo>
                                    <a:pt x="1655433" y="90709"/>
                                  </a:lnTo>
                                  <a:lnTo>
                                    <a:pt x="1564724" y="181417"/>
                                  </a:lnTo>
                                  <a:lnTo>
                                    <a:pt x="1564724" y="136063"/>
                                  </a:lnTo>
                                  <a:lnTo>
                                    <a:pt x="90709" y="136063"/>
                                  </a:lnTo>
                                  <a:lnTo>
                                    <a:pt x="90709" y="181417"/>
                                  </a:lnTo>
                                  <a:lnTo>
                                    <a:pt x="0" y="90709"/>
                                  </a:lnTo>
                                  <a:close/>
                                </a:path>
                              </a:pathLst>
                            </a:custGeom>
                            <a:solidFill>
                              <a:srgbClr val="FFFFFF"/>
                            </a:solidFill>
                            <a:ln w="6000" cap="sq">
                              <a:solidFill>
                                <a:srgbClr val="000000"/>
                              </a:solidFill>
                              <a:custDash>
                                <a:ds d="1100000" sp="500000"/>
                              </a:custDash>
                            </a:ln>
                          </wps:spPr>
                          <wps:bodyPr/>
                        </wps:wsp>
                        <wps:wsp>
                          <wps:cNvPr id="5" name="Text 5"/>
                          <wps:cNvSpPr txBox="1"/>
                          <wps:spPr>
                            <a:xfrm rot="10800000" flipV="1">
                              <a:off x="587945" y="2888322"/>
                              <a:ext cx="1685433" cy="147000"/>
                            </a:xfrm>
                            <a:prstGeom prst="rect">
                              <a:avLst/>
                            </a:prstGeom>
                            <a:noFill/>
                          </wps:spPr>
                          <wps:txbx>
                            <w:txbxContent>
                              <w:p>
                                <w:pPr>
                                  <w:snapToGrid w:val="0"/>
                                  <w:spacing w:line="264" w:lineRule="auto"/>
                                  <w:jc w:val="center"/>
                                  <w:rPr>
                                    <w:sz w:val="12"/>
                                  </w:rPr>
                                </w:pPr>
                                <w:r>
                                  <w:rPr>
                                    <w:rFonts w:ascii="Calibri" w:eastAsia="Calibri" w:hAnsi="Calibri"/>
                                    <w:color w:val="000000"/>
                                    <w:sz w:val="12"/>
                                    <w:szCs w:val="12"/>
                                  </w:rPr>
                                  <w:t>Security Establishment</w:t>
                                </w:r>
                              </w:p>
                            </w:txbxContent>
                          </wps:txbx>
                          <wps:bodyPr wrap="square" lIns="0" tIns="0" rIns="0" bIns="0" rtlCol="0" anchor="ctr"/>
                        </wps:wsp>
                      </wpg:grpSp>
                      <wps:wsp>
                        <wps:cNvPr id="1112" name="任意多边形 1112"/>
                        <wps:cNvSpPr/>
                        <wps:spPr>
                          <a:xfrm rot="-10788227">
                            <a:off x="602950" y="3128284"/>
                            <a:ext cx="1655443" cy="6000"/>
                          </a:xfrm>
                          <a:custGeom>
                            <a:avLst/>
                            <a:gdLst/>
                            <a:ahLst/>
                            <a:cxnLst/>
                            <a:rect l="l" t="t" r="r" b="b"/>
                            <a:pathLst>
                              <a:path w="1655443" h="6000" fill="none">
                                <a:moveTo>
                                  <a:pt x="0" y="0"/>
                                </a:moveTo>
                                <a:lnTo>
                                  <a:pt x="1655443" y="0"/>
                                </a:lnTo>
                              </a:path>
                            </a:pathLst>
                          </a:custGeom>
                          <a:solidFill>
                            <a:srgbClr val="4672C4"/>
                          </a:solidFill>
                          <a:ln w="6000" cap="rnd">
                            <a:solidFill>
                              <a:srgbClr val="000000"/>
                            </a:solidFill>
                            <a:tailEnd type="triangle" w="med" len="med"/>
                          </a:ln>
                        </wps:spPr>
                        <wps:bodyPr/>
                      </wps:wsp>
                      <wps:wsp>
                        <wps:cNvPr id="1113" name="任意多边形 1113"/>
                        <wps:cNvSpPr/>
                        <wps:spPr>
                          <a:xfrm>
                            <a:off x="574598" y="3018300"/>
                            <a:ext cx="1870866" cy="102047"/>
                          </a:xfrm>
                          <a:custGeom>
                            <a:avLst/>
                            <a:gdLst>
                              <a:gd name="rtl" fmla="*/ -15000 w 1870866"/>
                              <a:gd name="rtr" fmla="*/ 1885866 w 1870866"/>
                              <a:gd name="rtb" fmla="*/ 131063 h 102047"/>
                            </a:gdLst>
                            <a:ahLst/>
                            <a:cxnLst/>
                            <a:rect l="rtl" t="t" r="rtr" b="rtb"/>
                            <a:pathLst>
                              <a:path w="1870866" h="102047">
                                <a:moveTo>
                                  <a:pt x="0" y="102047"/>
                                </a:moveTo>
                                <a:lnTo>
                                  <a:pt x="1870866" y="102047"/>
                                </a:lnTo>
                                <a:lnTo>
                                  <a:pt x="1870866" y="0"/>
                                </a:lnTo>
                                <a:lnTo>
                                  <a:pt x="0" y="0"/>
                                </a:lnTo>
                                <a:lnTo>
                                  <a:pt x="0" y="102047"/>
                                </a:lnTo>
                                <a:close/>
                              </a:path>
                            </a:pathLst>
                          </a:custGeom>
                          <a:noFill/>
                          <a:ln w="0" cap="sq">
                            <a:noFill/>
                          </a:ln>
                        </wps:spPr>
                        <wps:txbx>
                          <w:txbxContent>
                            <w:p>
                              <w:pPr>
                                <w:snapToGrid w:val="0"/>
                                <w:spacing w:line="221" w:lineRule="auto"/>
                                <w:jc w:val="center"/>
                                <w:rPr>
                                  <w:sz w:val="12"/>
                                </w:rPr>
                              </w:pPr>
                              <w:r>
                                <w:rPr>
                                  <w:rFonts w:ascii="Calibri" w:eastAsia="Calibri" w:hAnsi="Calibri"/>
                                  <w:color w:val="000000"/>
                                  <w:sz w:val="12"/>
                                  <w:szCs w:val="12"/>
                                </w:rPr>
                                <w:t>4, Direct Communication Accept</w:t>
                              </w:r>
                            </w:p>
                          </w:txbxContent>
                        </wps:txbx>
                        <wps:bodyPr wrap="square" lIns="0" tIns="0" rIns="0" bIns="0" rtlCol="0" anchor="ctr"/>
                      </wps:wsp>
                      <wpg:grpSp>
                        <wpg:cNvPr id="6" name="Group 6"/>
                        <wpg:cNvGrpSpPr/>
                        <wpg:grpSpPr>
                          <a:xfrm rot="10800000" flipH="1" flipV="1">
                            <a:off x="587945" y="3199480"/>
                            <a:ext cx="4293307" cy="181417"/>
                            <a:chOff x="587945" y="3199480"/>
                            <a:chExt cx="4293307" cy="181417"/>
                          </a:xfrm>
                        </wpg:grpSpPr>
                        <wps:wsp>
                          <wps:cNvPr id="1114" name="Simple Double Arrow.1004"/>
                          <wps:cNvSpPr/>
                          <wps:spPr>
                            <a:xfrm>
                              <a:off x="602945" y="3199480"/>
                              <a:ext cx="4263307" cy="181417"/>
                            </a:xfrm>
                            <a:custGeom>
                              <a:avLst/>
                              <a:gdLst/>
                              <a:ahLst/>
                              <a:cxnLst/>
                              <a:rect l="l" t="t" r="r" b="b"/>
                              <a:pathLst>
                                <a:path w="4263307" h="181417">
                                  <a:moveTo>
                                    <a:pt x="0" y="90709"/>
                                  </a:moveTo>
                                  <a:lnTo>
                                    <a:pt x="90709" y="0"/>
                                  </a:lnTo>
                                  <a:lnTo>
                                    <a:pt x="90709" y="45354"/>
                                  </a:lnTo>
                                  <a:lnTo>
                                    <a:pt x="4172597" y="45354"/>
                                  </a:lnTo>
                                  <a:lnTo>
                                    <a:pt x="4172599" y="0"/>
                                  </a:lnTo>
                                  <a:lnTo>
                                    <a:pt x="4263307" y="90709"/>
                                  </a:lnTo>
                                  <a:lnTo>
                                    <a:pt x="4172599" y="181417"/>
                                  </a:lnTo>
                                  <a:lnTo>
                                    <a:pt x="4172599" y="136063"/>
                                  </a:lnTo>
                                  <a:lnTo>
                                    <a:pt x="90709" y="136063"/>
                                  </a:lnTo>
                                  <a:lnTo>
                                    <a:pt x="90709" y="181417"/>
                                  </a:lnTo>
                                  <a:lnTo>
                                    <a:pt x="0" y="90709"/>
                                  </a:lnTo>
                                  <a:close/>
                                </a:path>
                              </a:pathLst>
                            </a:custGeom>
                            <a:solidFill>
                              <a:srgbClr val="FFFFFF"/>
                            </a:solidFill>
                            <a:ln w="6000" cap="sq">
                              <a:solidFill>
                                <a:srgbClr val="000000"/>
                              </a:solidFill>
                              <a:custDash>
                                <a:ds d="1100000" sp="500000"/>
                              </a:custDash>
                            </a:ln>
                          </wps:spPr>
                          <wps:bodyPr/>
                        </wps:wsp>
                        <wps:wsp>
                          <wps:cNvPr id="7" name="Text 7"/>
                          <wps:cNvSpPr txBox="1"/>
                          <wps:spPr>
                            <a:xfrm rot="10800000" flipV="1">
                              <a:off x="587945" y="3222869"/>
                              <a:ext cx="4293307" cy="147000"/>
                            </a:xfrm>
                            <a:prstGeom prst="rect">
                              <a:avLst/>
                            </a:prstGeom>
                            <a:noFill/>
                          </wps:spPr>
                          <wps:txbx>
                            <w:txbxContent>
                              <w:p>
                                <w:pPr>
                                  <w:snapToGrid w:val="0"/>
                                  <w:spacing w:line="264" w:lineRule="auto"/>
                                  <w:jc w:val="center"/>
                                  <w:rPr>
                                    <w:sz w:val="12"/>
                                  </w:rPr>
                                </w:pPr>
                                <w:r>
                                  <w:rPr>
                                    <w:rFonts w:ascii="Calibri" w:eastAsia="Calibri" w:hAnsi="Calibri"/>
                                    <w:color w:val="000000"/>
                                    <w:sz w:val="12"/>
                                    <w:szCs w:val="12"/>
                                  </w:rPr>
                                  <w:t>Security Establishment</w:t>
                                </w:r>
                              </w:p>
                            </w:txbxContent>
                          </wps:txbx>
                          <wps:bodyPr wrap="square" lIns="0" tIns="0" rIns="0" bIns="0" rtlCol="0" anchor="ctr"/>
                        </wps:wsp>
                      </wpg:grpSp>
                      <wps:wsp>
                        <wps:cNvPr id="1115" name="Rectangle.1005"/>
                        <wps:cNvSpPr/>
                        <wps:spPr>
                          <a:xfrm>
                            <a:off x="1657316" y="447030"/>
                            <a:ext cx="1076665" cy="340157"/>
                          </a:xfrm>
                          <a:custGeom>
                            <a:avLst/>
                            <a:gdLst>
                              <a:gd name="connsiteX0" fmla="*/ 600945 w 1201890"/>
                              <a:gd name="connsiteY0" fmla="*/ 340157 h 340157"/>
                              <a:gd name="connsiteX1" fmla="*/ 1201890 w 1201890"/>
                              <a:gd name="connsiteY1" fmla="*/ 170079 h 340157"/>
                              <a:gd name="connsiteX2" fmla="*/ 600945 w 1201890"/>
                              <a:gd name="connsiteY2" fmla="*/ 0 h 340157"/>
                              <a:gd name="connsiteX3" fmla="*/ 0 w 1201890"/>
                              <a:gd name="connsiteY3" fmla="*/ 170079 h 340157"/>
                              <a:gd name="connsiteX4" fmla="*/ 600945 w 1201890"/>
                              <a:gd name="connsiteY4" fmla="*/ 170079 h 340157"/>
                              <a:gd name="rtl" fmla="*/ -15000 w 1201890"/>
                              <a:gd name="rtr" fmla="*/ 1216890 w 1201890"/>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1201890" h="340157">
                                <a:moveTo>
                                  <a:pt x="0" y="340157"/>
                                </a:moveTo>
                                <a:lnTo>
                                  <a:pt x="1201890" y="340157"/>
                                </a:lnTo>
                                <a:lnTo>
                                  <a:pt x="1201890" y="0"/>
                                </a:lnTo>
                                <a:lnTo>
                                  <a:pt x="0" y="0"/>
                                </a:lnTo>
                                <a:lnTo>
                                  <a:pt x="0" y="340157"/>
                                </a:lnTo>
                                <a:close/>
                              </a:path>
                            </a:pathLst>
                          </a:custGeom>
                          <a:solidFill>
                            <a:srgbClr val="FFFFFF"/>
                          </a:solidFill>
                          <a:ln w="3333" cap="sq">
                            <a:solidFill>
                              <a:srgbClr val="000000"/>
                            </a:solidFill>
                          </a:ln>
                        </wps:spPr>
                        <wps:txbx>
                          <w:txbxContent>
                            <w:p>
                              <w:pPr>
                                <w:snapToGrid w:val="0"/>
                                <w:spacing w:line="264" w:lineRule="auto"/>
                                <w:jc w:val="center"/>
                                <w:rPr>
                                  <w:sz w:val="12"/>
                                </w:rPr>
                              </w:pPr>
                              <w:r>
                                <w:rPr>
                                  <w:rFonts w:ascii="Calibri" w:eastAsia="Calibri" w:hAnsi="Calibri"/>
                                  <w:color w:val="000000"/>
                                  <w:sz w:val="12"/>
                                  <w:szCs w:val="12"/>
                                </w:rPr>
                                <w:t>0. Service authorization and parameter provisioning</w:t>
                              </w:r>
                            </w:p>
                          </w:txbxContent>
                        </wps:txbx>
                        <wps:bodyPr wrap="square" lIns="0" tIns="0" rIns="0" bIns="0" rtlCol="0" anchor="ctr"/>
                      </wps:wsp>
                      <wps:wsp>
                        <wps:cNvPr id="1116" name="Rectangle.1006"/>
                        <wps:cNvSpPr/>
                        <wps:spPr>
                          <a:xfrm>
                            <a:off x="2904472" y="447030"/>
                            <a:ext cx="1102938" cy="340157"/>
                          </a:xfrm>
                          <a:custGeom>
                            <a:avLst/>
                            <a:gdLst>
                              <a:gd name="connsiteX0" fmla="*/ 600945 w 1201890"/>
                              <a:gd name="connsiteY0" fmla="*/ 340157 h 340157"/>
                              <a:gd name="connsiteX1" fmla="*/ 1201890 w 1201890"/>
                              <a:gd name="connsiteY1" fmla="*/ 170079 h 340157"/>
                              <a:gd name="connsiteX2" fmla="*/ 600945 w 1201890"/>
                              <a:gd name="connsiteY2" fmla="*/ 0 h 340157"/>
                              <a:gd name="connsiteX3" fmla="*/ 0 w 1201890"/>
                              <a:gd name="connsiteY3" fmla="*/ 170079 h 340157"/>
                              <a:gd name="connsiteX4" fmla="*/ 600945 w 1201890"/>
                              <a:gd name="connsiteY4" fmla="*/ 170079 h 340157"/>
                              <a:gd name="rtl" fmla="*/ -15000 w 1201890"/>
                              <a:gd name="rtr" fmla="*/ 1216890 w 1201890"/>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1201890" h="340157">
                                <a:moveTo>
                                  <a:pt x="0" y="340157"/>
                                </a:moveTo>
                                <a:lnTo>
                                  <a:pt x="1201890" y="340157"/>
                                </a:lnTo>
                                <a:lnTo>
                                  <a:pt x="1201890" y="0"/>
                                </a:lnTo>
                                <a:lnTo>
                                  <a:pt x="0" y="0"/>
                                </a:lnTo>
                                <a:lnTo>
                                  <a:pt x="0" y="340157"/>
                                </a:lnTo>
                                <a:close/>
                              </a:path>
                            </a:pathLst>
                          </a:custGeom>
                          <a:solidFill>
                            <a:srgbClr val="FFFFFF"/>
                          </a:solidFill>
                          <a:ln w="3333" cap="sq">
                            <a:solidFill>
                              <a:srgbClr val="000000"/>
                            </a:solidFill>
                          </a:ln>
                        </wps:spPr>
                        <wps:txbx>
                          <w:txbxContent>
                            <w:p>
                              <w:pPr>
                                <w:snapToGrid w:val="0"/>
                                <w:spacing w:line="264" w:lineRule="auto"/>
                                <w:jc w:val="center"/>
                                <w:rPr>
                                  <w:sz w:val="12"/>
                                </w:rPr>
                              </w:pPr>
                              <w:r>
                                <w:rPr>
                                  <w:rFonts w:ascii="Calibri" w:eastAsia="Calibri" w:hAnsi="Calibri"/>
                                  <w:color w:val="000000"/>
                                  <w:sz w:val="12"/>
                                  <w:szCs w:val="12"/>
                                </w:rPr>
                                <w:t>0. Service authorization and parameter provisioning</w:t>
                              </w:r>
                            </w:p>
                          </w:txbxContent>
                        </wps:txbx>
                        <wps:bodyPr wrap="square" lIns="0" tIns="0" rIns="0" bIns="0" rtlCol="0" anchor="ctr"/>
                      </wps:wsp>
                      <wps:wsp>
                        <wps:cNvPr id="1117" name="Rectangle.1007"/>
                        <wps:cNvSpPr/>
                        <wps:spPr>
                          <a:xfrm>
                            <a:off x="4265006" y="447030"/>
                            <a:ext cx="1038272" cy="340157"/>
                          </a:xfrm>
                          <a:custGeom>
                            <a:avLst/>
                            <a:gdLst>
                              <a:gd name="connsiteX0" fmla="*/ 600945 w 1201890"/>
                              <a:gd name="connsiteY0" fmla="*/ 340157 h 340157"/>
                              <a:gd name="connsiteX1" fmla="*/ 1201890 w 1201890"/>
                              <a:gd name="connsiteY1" fmla="*/ 170079 h 340157"/>
                              <a:gd name="connsiteX2" fmla="*/ 600945 w 1201890"/>
                              <a:gd name="connsiteY2" fmla="*/ 0 h 340157"/>
                              <a:gd name="connsiteX3" fmla="*/ 0 w 1201890"/>
                              <a:gd name="connsiteY3" fmla="*/ 170079 h 340157"/>
                              <a:gd name="connsiteX4" fmla="*/ 600945 w 1201890"/>
                              <a:gd name="connsiteY4" fmla="*/ 170079 h 340157"/>
                              <a:gd name="rtl" fmla="*/ -15000 w 1201890"/>
                              <a:gd name="rtr" fmla="*/ 1216890 w 1201890"/>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1201890" h="340157">
                                <a:moveTo>
                                  <a:pt x="0" y="340157"/>
                                </a:moveTo>
                                <a:lnTo>
                                  <a:pt x="1201890" y="340157"/>
                                </a:lnTo>
                                <a:lnTo>
                                  <a:pt x="1201890" y="0"/>
                                </a:lnTo>
                                <a:lnTo>
                                  <a:pt x="0" y="0"/>
                                </a:lnTo>
                                <a:lnTo>
                                  <a:pt x="0" y="340157"/>
                                </a:lnTo>
                                <a:close/>
                              </a:path>
                            </a:pathLst>
                          </a:custGeom>
                          <a:solidFill>
                            <a:srgbClr val="FFFFFF"/>
                          </a:solidFill>
                          <a:ln w="3333" cap="sq">
                            <a:solidFill>
                              <a:srgbClr val="000000"/>
                            </a:solidFill>
                          </a:ln>
                        </wps:spPr>
                        <wps:txbx>
                          <w:txbxContent>
                            <w:p>
                              <w:pPr>
                                <w:snapToGrid w:val="0"/>
                                <w:spacing w:line="264" w:lineRule="auto"/>
                                <w:jc w:val="center"/>
                                <w:rPr>
                                  <w:sz w:val="12"/>
                                </w:rPr>
                              </w:pPr>
                              <w:r>
                                <w:rPr>
                                  <w:rFonts w:ascii="Calibri" w:eastAsia="Calibri" w:hAnsi="Calibri"/>
                                  <w:color w:val="000000"/>
                                  <w:sz w:val="12"/>
                                  <w:szCs w:val="12"/>
                                </w:rPr>
                                <w:t>0. Service authorization and parameter provisioning</w:t>
                              </w:r>
                            </w:p>
                          </w:txbxContent>
                        </wps:txbx>
                        <wps:bodyPr wrap="square" lIns="0" tIns="0" rIns="0" bIns="0" rtlCol="0" anchor="ctr"/>
                      </wps:wsp>
                      <wps:wsp>
                        <wps:cNvPr id="1118" name="Rectangle.1008"/>
                        <wps:cNvSpPr/>
                        <wps:spPr>
                          <a:xfrm>
                            <a:off x="194756" y="3823103"/>
                            <a:ext cx="4943622" cy="226772"/>
                          </a:xfrm>
                          <a:custGeom>
                            <a:avLst/>
                            <a:gdLst>
                              <a:gd name="connsiteX0" fmla="*/ 2471811 w 4943622"/>
                              <a:gd name="connsiteY0" fmla="*/ 226772 h 226772"/>
                              <a:gd name="connsiteX1" fmla="*/ 4943622 w 4943622"/>
                              <a:gd name="connsiteY1" fmla="*/ 113386 h 226772"/>
                              <a:gd name="connsiteX2" fmla="*/ 2471811 w 4943622"/>
                              <a:gd name="connsiteY2" fmla="*/ 0 h 226772"/>
                              <a:gd name="connsiteX3" fmla="*/ 0 w 4943622"/>
                              <a:gd name="connsiteY3" fmla="*/ 113386 h 226772"/>
                              <a:gd name="connsiteX4" fmla="*/ 2471811 w 4943622"/>
                              <a:gd name="connsiteY4" fmla="*/ 113386 h 226772"/>
                              <a:gd name="rtl" fmla="*/ -15000 w 4943622"/>
                              <a:gd name="rtr" fmla="*/ 4958623 w 4943622"/>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4943622" h="226772">
                                <a:moveTo>
                                  <a:pt x="0" y="226772"/>
                                </a:moveTo>
                                <a:lnTo>
                                  <a:pt x="4943622" y="226772"/>
                                </a:lnTo>
                                <a:lnTo>
                                  <a:pt x="4943622" y="0"/>
                                </a:lnTo>
                                <a:lnTo>
                                  <a:pt x="0" y="0"/>
                                </a:lnTo>
                                <a:lnTo>
                                  <a:pt x="0" y="226772"/>
                                </a:lnTo>
                                <a:close/>
                              </a:path>
                            </a:pathLst>
                          </a:custGeom>
                          <a:solidFill>
                            <a:srgbClr val="FFFFFF"/>
                          </a:solidFill>
                          <a:ln w="3333" cap="sq">
                            <a:solidFill>
                              <a:srgbClr val="000000"/>
                            </a:solidFill>
                          </a:ln>
                        </wps:spPr>
                        <wps:txbx>
                          <w:txbxContent>
                            <w:p>
                              <w:pPr>
                                <w:snapToGrid w:val="0"/>
                                <w:spacing w:line="264" w:lineRule="auto"/>
                                <w:jc w:val="center"/>
                                <w:rPr>
                                  <w:sz w:val="12"/>
                                </w:rPr>
                              </w:pPr>
                              <w:r>
                                <w:rPr>
                                  <w:rFonts w:ascii="Calibri" w:eastAsia="Calibri" w:hAnsi="Calibri"/>
                                  <w:color w:val="000000"/>
                                  <w:sz w:val="12"/>
                                  <w:szCs w:val="12"/>
                                </w:rPr>
                                <w:t>6a. IP allocation and retrieval for L3 UE-to-UE Relay case</w:t>
                              </w:r>
                            </w:p>
                          </w:txbxContent>
                        </wps:txbx>
                        <wps:bodyPr wrap="square" lIns="0" tIns="0" rIns="0" bIns="0" rtlCol="0" anchor="ctr"/>
                      </wps:wsp>
                      <wps:wsp>
                        <wps:cNvPr id="1119" name="Rectangle.1009"/>
                        <wps:cNvSpPr/>
                        <wps:spPr>
                          <a:xfrm>
                            <a:off x="3051752" y="1376775"/>
                            <a:ext cx="815412" cy="340157"/>
                          </a:xfrm>
                          <a:custGeom>
                            <a:avLst/>
                            <a:gdLst>
                              <a:gd name="connsiteX0" fmla="*/ 453543 w 907087"/>
                              <a:gd name="connsiteY0" fmla="*/ 340157 h 340157"/>
                              <a:gd name="connsiteX1" fmla="*/ 907087 w 907087"/>
                              <a:gd name="connsiteY1" fmla="*/ 170079 h 340157"/>
                              <a:gd name="connsiteX2" fmla="*/ 453543 w 907087"/>
                              <a:gd name="connsiteY2" fmla="*/ 0 h 340157"/>
                              <a:gd name="connsiteX3" fmla="*/ 0 w 907087"/>
                              <a:gd name="connsiteY3" fmla="*/ 170079 h 340157"/>
                              <a:gd name="connsiteX4" fmla="*/ 453543 w 907087"/>
                              <a:gd name="connsiteY4" fmla="*/ 170079 h 340157"/>
                              <a:gd name="rtl" fmla="*/ -15000 w 907087"/>
                              <a:gd name="rtr" fmla="*/ 922087 w 907087"/>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907087" h="340157">
                                <a:moveTo>
                                  <a:pt x="0" y="340157"/>
                                </a:moveTo>
                                <a:lnTo>
                                  <a:pt x="907087" y="340157"/>
                                </a:lnTo>
                                <a:lnTo>
                                  <a:pt x="907087" y="0"/>
                                </a:lnTo>
                                <a:lnTo>
                                  <a:pt x="0" y="0"/>
                                </a:lnTo>
                                <a:lnTo>
                                  <a:pt x="0" y="340157"/>
                                </a:lnTo>
                                <a:close/>
                              </a:path>
                            </a:pathLst>
                          </a:custGeom>
                          <a:solidFill>
                            <a:srgbClr val="FFFFFF"/>
                          </a:solidFill>
                          <a:ln w="3333" cap="sq">
                            <a:solidFill>
                              <a:srgbClr val="000000"/>
                            </a:solidFill>
                          </a:ln>
                        </wps:spPr>
                        <wps:txbx>
                          <w:txbxContent>
                            <w:p>
                              <w:pPr>
                                <w:snapToGrid w:val="0"/>
                                <w:spacing w:line="264" w:lineRule="auto"/>
                                <w:jc w:val="center"/>
                                <w:rPr>
                                  <w:sz w:val="12"/>
                                </w:rPr>
                              </w:pPr>
                              <w:r>
                                <w:rPr>
                                  <w:rFonts w:ascii="Calibri" w:eastAsia="Calibri" w:hAnsi="Calibri"/>
                                  <w:color w:val="000000"/>
                                  <w:sz w:val="12"/>
                                  <w:szCs w:val="12"/>
                                </w:rPr>
                                <w:t>2. Decide to participate in the procedure</w:t>
                              </w:r>
                            </w:p>
                          </w:txbxContent>
                        </wps:txbx>
                        <wps:bodyPr wrap="square" lIns="0" tIns="0" rIns="0" bIns="0" rtlCol="0" anchor="ctr"/>
                      </wps:wsp>
                    </wpg:wgp>
                  </a:graphicData>
                </a:graphic>
              </wp:inline>
            </w:drawing>
          </mc:Choice>
          <mc:Fallback>
            <w:pict>
              <v:group id="Page-1" o:spid="_x0000_s1026" style="width:401.15pt;height:339.25pt;mso-position-horizontal-relative:char;mso-position-vertical-relative:line" coordorigin="1111,20" coordsize="51920,43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">
                <v:shape id="Rectangle" o:spid="_x0000_s1027" style="position:absolute;left:2627;top:20;width:6804;height:3401;visibility:visible;mso-wrap-style:square;v-text-anchor:middle" coordsize="680315,3401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qBJMEA&#10;AADcAAAADwAAAGRycy9kb3ducmV2LnhtbERPTYvCMBC9C/sfwgh7EU27QpFqFFl2wYsH3V68Dc3Y&#10;VJtJaWKt/94Iwt7m8T5ntRlsI3rqfO1YQTpLQBCXTtdcKSj+fqcLED4ga2wck4IHedisP0YrzLW7&#10;84H6Y6hEDGGfowITQptL6UtDFv3MtcSRO7vOYoiwq6Tu8B7DbSO/kiSTFmuODQZb+jZUXo83q2Bn&#10;Qu/1+Wc+ybLb5aQf231xqpT6HA/bJYhAQ/gXv907HeenKbyeiRfI9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qgSTBAAAA3AAAAA8AAAAAAAAAAAAAAAAAmAIAAGRycy9kb3du&#10;cmV2LnhtbFBLBQYAAAAABAAEAPUAAACGAwAAAAA=&#10;" adj="-11796480,,5400" path="m,340157r680315,l680315,,,,,340157xe" strokeweight=".09258mm">
                  <v:stroke joinstyle="miter" endcap="square"/>
                  <v:formulas/>
                  <v:path arrowok="t" o:connecttype="custom" o:connectlocs="340157,340157;680315,170079;340157,0;0,170079;340157,170079" o:connectangles="0,0,0,0,0" textboxrect="-15000,0,695315,340157"/>
                  <v:textbox inset="0,0,0,0">
                    <w:txbxContent>
                      <w:p>
                        <w:pPr>
                          <w:snapToGrid w:val="0"/>
                          <w:spacing w:line="264" w:lineRule="auto"/>
                          <w:jc w:val="center"/>
                          <w:rPr>
                            <w:sz w:val="12"/>
                          </w:rPr>
                        </w:pPr>
                        <w:r>
                          <w:rPr>
                            <w:rFonts w:ascii="Calibri" w:eastAsia="Calibri" w:hAnsi="Calibri"/>
                            <w:color w:val="000000"/>
                            <w:sz w:val="14"/>
                            <w:szCs w:val="14"/>
                          </w:rPr>
                          <w:t>UE-1</w:t>
                        </w:r>
                      </w:p>
                    </w:txbxContent>
                  </v:textbox>
                </v:shape>
                <v:shape id="Rectangle.2" o:spid="_x0000_s1028" style="position:absolute;left:19182;top:20;width:6803;height:3401;visibility:visible;mso-wrap-style:square;v-text-anchor:middle" coordsize="680315,3401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gfU8IA&#10;AADcAAAADwAAAGRycy9kb3ducmV2LnhtbERPS4vCMBC+C/sfwizsRdZUhSLdRhFxwcsefFy8Dc3Y&#10;VJtJadJa//1GELzNx/ecfDXYWvTU+sqxgukkAUFcOF1xqeB0/P1egPABWWPtmBQ8yMNq+THKMdPu&#10;znvqD6EUMYR9hgpMCE0mpS8MWfQT1xBH7uJaiyHCtpS6xXsMt7WcJUkqLVYcGww2tDFU3A6dVbAz&#10;off6sp2P07S7nvVj/Xc6l0p9fQ7rHxCBhvAWv9w7HedPZ/B8Jl4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eB9TwgAAANwAAAAPAAAAAAAAAAAAAAAAAJgCAABkcnMvZG93&#10;bnJldi54bWxQSwUGAAAAAAQABAD1AAAAhwMAAAAA&#10;" adj="-11796480,,5400" path="m,340157r680315,l680315,,,,,340157xe" strokeweight=".09258mm">
                  <v:stroke joinstyle="miter" endcap="square"/>
                  <v:formulas/>
                  <v:path arrowok="t" o:connecttype="custom" o:connectlocs="340157,340157;680315,170079;340157,0;0,170079;340157,170079" o:connectangles="0,0,0,0,0" textboxrect="-15000,0,695315,340157"/>
                  <v:textbox inset="0,0,0,0">
                    <w:txbxContent>
                      <w:p>
                        <w:pPr>
                          <w:snapToGrid w:val="0"/>
                          <w:spacing w:line="264" w:lineRule="auto"/>
                          <w:jc w:val="center"/>
                          <w:rPr>
                            <w:sz w:val="12"/>
                          </w:rPr>
                        </w:pPr>
                        <w:r>
                          <w:rPr>
                            <w:rFonts w:ascii="Calibri" w:eastAsia="Calibri" w:hAnsi="Calibri"/>
                            <w:color w:val="000000"/>
                            <w:sz w:val="14"/>
                            <w:szCs w:val="14"/>
                          </w:rPr>
                          <w:t>Relay-1</w:t>
                        </w:r>
                      </w:p>
                    </w:txbxContent>
                  </v:textbox>
                </v:shape>
                <v:shape id="Rectangle.3" o:spid="_x0000_s1029" style="position:absolute;left:31654;top:20;width:6803;height:3401;visibility:visible;mso-wrap-style:square;v-text-anchor:middle" coordsize="680315,3401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S6yMIA&#10;AADcAAAADwAAAGRycy9kb3ducmV2LnhtbERPTYvCMBC9C/6HMMJeRFNXKFKbiiy74MWDrhdvQzM2&#10;1WZSmljrv98Iwt7m8T4n3wy2ET11vnasYDFPQBCXTtdcKTj9/sxWIHxA1tg4JgVP8rApxqMcM+0e&#10;fKD+GCoRQ9hnqMCE0GZS+tKQRT93LXHkLq6zGCLsKqk7fMRw28jPJEmlxZpjg8GWvgyVt+PdKtiZ&#10;0Ht9+V5O0/R+Pevndn86V0p9TIbtGkSgIfyL3+6djvMXS3g9Ey+Q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NLrIwgAAANwAAAAPAAAAAAAAAAAAAAAAAJgCAABkcnMvZG93&#10;bnJldi54bWxQSwUGAAAAAAQABAD1AAAAhwMAAAAA&#10;" adj="-11796480,,5400" path="m,340157r680315,l680315,,,,,340157xe" strokeweight=".09258mm">
                  <v:stroke joinstyle="miter" endcap="square"/>
                  <v:formulas/>
                  <v:path arrowok="t" o:connecttype="custom" o:connectlocs="340157,340157;680315,170079;340157,0;0,170079;340157,170079" o:connectangles="0,0,0,0,0" textboxrect="-15000,0,695315,340157"/>
                  <v:textbox inset="0,0,0,0">
                    <w:txbxContent>
                      <w:p>
                        <w:pPr>
                          <w:snapToGrid w:val="0"/>
                          <w:spacing w:line="264" w:lineRule="auto"/>
                          <w:jc w:val="center"/>
                          <w:rPr>
                            <w:sz w:val="12"/>
                          </w:rPr>
                        </w:pPr>
                        <w:r>
                          <w:rPr>
                            <w:rFonts w:ascii="Calibri" w:eastAsia="Calibri" w:hAnsi="Calibri"/>
                            <w:color w:val="000000"/>
                            <w:sz w:val="14"/>
                            <w:szCs w:val="14"/>
                          </w:rPr>
                          <w:t>Relay-2</w:t>
                        </w:r>
                      </w:p>
                    </w:txbxContent>
                  </v:textbox>
                </v:shape>
                <v:shape id="Rectangle.4" o:spid="_x0000_s1030" style="position:absolute;left:45260;top:20;width:6804;height:3401;visibility:visible;mso-wrap-style:square;v-text-anchor:middle" coordsize="680315,3401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0ivMIA&#10;AADcAAAADwAAAGRycy9kb3ducmV2LnhtbERPTYvCMBC9C/sfwgh7kTV1lbJUo8ii4GUPai/ehmZs&#10;qs2kNLHWf78RBG/zeJ+zWPW2Fh21vnKsYDJOQBAXTldcKsiP268fED4ga6wdk4IHeVgtPwYLzLS7&#10;8566QyhFDGGfoQITQpNJ6QtDFv3YNcSRO7vWYoiwLaVu8R7DbS2/kySVFiuODQYb+jVUXA83q2Bn&#10;Quf1eTMdpentctKP9V9+KpX6HPbrOYhAfXiLX+6djvMnM3g+Ey+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3SK8wgAAANwAAAAPAAAAAAAAAAAAAAAAAJgCAABkcnMvZG93&#10;bnJldi54bWxQSwUGAAAAAAQABAD1AAAAhwMAAAAA&#10;" adj="-11796480,,5400" path="m,340157r680315,l680315,,,,,340157xe" strokeweight=".09258mm">
                  <v:stroke joinstyle="miter" endcap="square"/>
                  <v:formulas/>
                  <v:path arrowok="t" o:connecttype="custom" o:connectlocs="340157,340157;680315,170079;340157,0;0,170079;340157,170079" o:connectangles="0,0,0,0,0" textboxrect="-15000,0,695315,340157"/>
                  <v:textbox inset="0,0,0,0">
                    <w:txbxContent>
                      <w:p>
                        <w:pPr>
                          <w:snapToGrid w:val="0"/>
                          <w:spacing w:line="264" w:lineRule="auto"/>
                          <w:jc w:val="center"/>
                          <w:rPr>
                            <w:sz w:val="12"/>
                          </w:rPr>
                        </w:pPr>
                        <w:r>
                          <w:rPr>
                            <w:rFonts w:ascii="Calibri" w:eastAsia="Calibri" w:hAnsi="Calibri"/>
                            <w:color w:val="000000"/>
                            <w:sz w:val="14"/>
                            <w:szCs w:val="14"/>
                          </w:rPr>
                          <w:t>UE-2</w:t>
                        </w:r>
                      </w:p>
                    </w:txbxContent>
                  </v:textbox>
                </v:shape>
                <v:shape id="任意多边形 115" o:spid="_x0000_s1031" style="position:absolute;left:-14071;top:23461;width:40139;height:60;rotation:90;visibility:visible;mso-wrap-style:square;v-text-anchor:top" coordsize="401385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pSMIA&#10;AADcAAAADwAAAGRycy9kb3ducmV2LnhtbERPTUvDQBC9C/6HZQRvdtPSqKTdllAQetCDqeB1mp1m&#10;Q7KzITum8d+7guBtHu9ztvvZ92qiMbaBDSwXGSjiOtiWGwMfp5eHZ1BRkC32gcnAN0XY725vtljY&#10;cOV3mippVArhWKABJzIUWsfakce4CANx4i5h9CgJjo22I15TuO/1KssetceWU4PDgQ6O6q768gby&#10;p3WXS9W+nrq30pVnnOQzvxhzfzeXG1BCs/yL/9xHm+Yvc/h9Jl2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MClIwgAAANwAAAAPAAAAAAAAAAAAAAAAAJgCAABkcnMvZG93&#10;bnJldi54bWxQSwUGAAAAAAQABAD1AAAAhwMAAAAA&#10;" path="m,nfl4013858,e" fillcolor="#4672c4" strokeweight=".16667mm">
                  <v:stroke endcap="round"/>
                  <v:path arrowok="t"/>
                </v:shape>
                <v:shape id="任意多边形 116" o:spid="_x0000_s1032" style="position:absolute;left:2483;top:23461;width:40139;height:60;rotation:90;visibility:visible;mso-wrap-style:square;v-text-anchor:top" coordsize="401385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K3P8IA&#10;AADcAAAADwAAAGRycy9kb3ducmV2LnhtbERPTUvDQBC9C/6HZQRvdlMxVWK3JQiFHurBtOB1zE6z&#10;IdnZkB3T9N+7guBtHu9z1tvZ92qiMbaBDSwXGSjiOtiWGwOn4+7hBVQUZIt9YDJwpQjbze3NGgsb&#10;LvxBUyWNSiEcCzTgRIZC61g78hgXYSBO3DmMHiXBsdF2xEsK971+zLKV9thyanA40Jujuqu+vYH8&#10;+anLpWoPx+69dOUXTvKZn425v5vLV1BCs/yL/9x7m+YvV/D7TLpAb3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4rc/wgAAANwAAAAPAAAAAAAAAAAAAAAAAJgCAABkcnMvZG93&#10;bnJldi54bWxQSwUGAAAAAAQABAD1AAAAhwMAAAAA&#10;" path="m,nfl4013858,e" fillcolor="#4672c4" strokeweight=".16667mm">
                  <v:stroke endcap="round"/>
                  <v:path arrowok="t"/>
                </v:shape>
                <v:shape id="任意多边形 117" o:spid="_x0000_s1033" style="position:absolute;left:14730;top:23687;width:40592;height:60;rotation:90;visibility:visible;mso-wrap-style:square;v-text-anchor:top" coordsize="405921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H8LcAA&#10;AADcAAAADwAAAGRycy9kb3ducmV2LnhtbERPzUrDQBC+C77DMoIXsZtasCV2W0qp4NXYBxiyk2xo&#10;dibd3aTx7V1B8DYf3+9s97Pv1UQhdsIGlosCFHEttuPWwPnr/XkDKiZki70wGfimCPvd/d0WSys3&#10;/qSpSq3KIRxLNOBSGkqtY+3IY1zIQJy5RoLHlGFotQ14y+G+1y9F8ao9dpwbHA50dFRfqtEbCE5O&#10;KOO1WnXNJKu6eTryejTm8WE+vIFKNKd/8Z/7w+b5yzX8PpMv0Ls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WH8LcAAAADcAAAADwAAAAAAAAAAAAAAAACYAgAAZHJzL2Rvd25y&#10;ZXYueG1sUEsFBgAAAAAEAAQA9QAAAIUDAAAAAA==&#10;" path="m,nfl4059213,e" fillcolor="#4672c4" strokeweight=".16667mm">
                  <v:stroke endcap="round"/>
                  <v:path arrowok="t"/>
                </v:shape>
                <v:shape id="任意多边形 118" o:spid="_x0000_s1034" style="position:absolute;left:28562;top:23461;width:40139;height:60;rotation:90;visibility:visible;mso-wrap-style:square;v-text-anchor:top" coordsize="401385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G1sUA&#10;AADcAAAADwAAAGRycy9kb3ducmV2LnhtbESPQWvDMAyF74P9B6PCbqvTsawjrVvCoNDDdlha6FWL&#10;1TgklkOspdm/nw+D3STe03uftvvZ92qiMbaBDayWGSjiOtiWGwPn0+HxFVQUZIt9YDLwQxH2u/u7&#10;LRY23PiTpkoalUI4FmjAiQyF1rF25DEuw0CctGsYPUpax0bbEW8p3Pf6KctetMeWU4PDgd4c1V31&#10;7Q3k6+cul6p9P3UfpSu/cJJLfjXmYTGXG1BCs/yb/66PNuGvEm16Jk2gd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MYbWxQAAANwAAAAPAAAAAAAAAAAAAAAAAJgCAABkcnMv&#10;ZG93bnJldi54bWxQSwUGAAAAAAQABAD1AAAAigMAAAAA&#10;" path="m,nfl4013858,e" fillcolor="#4672c4" strokeweight=".16667mm">
                  <v:stroke endcap="round"/>
                  <v:path arrowok="t"/>
                </v:shape>
                <v:shape id="Rectangle.10" o:spid="_x0000_s1035" style="position:absolute;left:1111;top:4401;width:10863;height:3402;visibility:visible;mso-wrap-style:square;v-text-anchor:middle" coordsize="1201890,3401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0y7MQA&#10;AADcAAAADwAAAGRycy9kb3ducmV2LnhtbESPT2vCQBDF7wW/wzIFL0U3FaqSuooESj3WP+B1yE6z&#10;sdnZNLua9Nt3DoK3Gd6b936z2gy+UTfqYh3YwOs0A0VcBltzZeB0/JgsQcWEbLEJTAb+KMJmPXpa&#10;YW5Dz3u6HVKlJIRjjgZcSm2udSwdeYzT0BKL9h06j0nWrtK2w17CfaNnWTbXHmuWBoctFY7Kn8PV&#10;GyjO7vq5fCm+3upG98Vl8XvRJRozfh6276ASDelhvl/vrODPBF+ekQn0+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tMuzEAAAA3AAAAA8AAAAAAAAAAAAAAAAAmAIAAGRycy9k&#10;b3ducmV2LnhtbFBLBQYAAAAABAAEAPUAAACJAwAAAAA=&#10;" adj="-11796480,,5400" path="m,340157r1201890,l1201890,,,,,340157xe" strokeweight=".09258mm">
                  <v:stroke joinstyle="miter" endcap="square"/>
                  <v:formulas/>
                  <v:path arrowok="t" o:connecttype="custom" o:connectlocs="543153,340157;1086305,170079;543153,0;0,170079;543153,170079" o:connectangles="0,0,0,0,0" textboxrect="-14999,0,1216889,340157"/>
                  <v:textbox inset="0,0,0,0">
                    <w:txbxContent>
                      <w:p>
                        <w:pPr>
                          <w:snapToGrid w:val="0"/>
                          <w:spacing w:line="264" w:lineRule="auto"/>
                          <w:jc w:val="center"/>
                          <w:rPr>
                            <w:sz w:val="12"/>
                          </w:rPr>
                        </w:pPr>
                        <w:r>
                          <w:rPr>
                            <w:rFonts w:ascii="Calibri" w:eastAsia="Calibri" w:hAnsi="Calibri"/>
                            <w:color w:val="000000"/>
                            <w:sz w:val="12"/>
                            <w:szCs w:val="12"/>
                          </w:rPr>
                          <w:t>0. Service authorization and parameter provisioning</w:t>
                        </w:r>
                      </w:p>
                    </w:txbxContent>
                  </v:textbox>
                </v:shape>
                <v:shape id="任意多边形 124" o:spid="_x0000_s1036" style="position:absolute;left:5745;top:8183;width:567;height:4706;visibility:visible;mso-wrap-style:square;v-text-anchor:top" coordsize="56693,4705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EIocAA&#10;AADcAAAADwAAAGRycy9kb3ducmV2LnhtbERPTYvCMBC9L/gfwgje1lRRkWoUUURhT6vieWjGpthM&#10;ShPb6q/fCMLe5vE+Z7nubCkaqn3hWMFomIAgzpwuOFdwOe+/5yB8QNZYOiYFT/KwXvW+lphq1/Iv&#10;NaeQixjCPkUFJoQqldJnhiz6oauII3dztcUQYZ1LXWMbw20px0kykxYLjg0GK9oayu6nh1WA+5/D&#10;FcudmbavWbdpzpODmR6VGvS7zQJEoC78iz/uo47zxxN4PxMvk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vEIocAAAADcAAAADwAAAAAAAAAAAAAAAACYAgAAZHJzL2Rvd25y&#10;ZXYueG1sUEsFBgAAAAAEAAQA9QAAAIUDAAAAAA==&#10;" path="m,470551r56693,l56693,,,,,470551xe" fillcolor="black" strokecolor="#c8c8c8" strokeweight=".09258mm">
                  <v:stroke endcap="square"/>
                  <v:path arrowok="t" o:connecttype="custom" o:connectlocs="28346,470551;56693,235276;28346,0;0,235276;28346,235276" o:connectangles="0,0,0,0,0"/>
                </v:shape>
                <v:shape id="任意多边形 125" o:spid="_x0000_s1037" style="position:absolute;left:6312;top:10607;width:16271;height:60;rotation:32708fd;visibility:visible;mso-wrap-style:square;v-text-anchor:top" coordsize="162714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bHccEA&#10;AADcAAAADwAAAGRycy9kb3ducmV2LnhtbERPTWsCMRC9F/wPYYTeataFStkaRcQWL6V2Fc/TzXSz&#10;dDNZkuim/74RCr3N433Ocp1sL67kQ+dYwXxWgCBunO64VXA6vjw8gQgRWWPvmBT8UID1anK3xEq7&#10;kT/oWsdW5BAOFSowMQ6VlKExZDHM3ECcuS/nLcYMfSu1xzGH216WRbGQFjvODQYH2hpqvuuLVfA5&#10;Hk5o6nQoPZrze+OL17e0U+p+mjbPICKl+C/+c+91nl8+wu2ZfIF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Gx3HBAAAA3AAAAA8AAAAAAAAAAAAAAAAAmAIAAGRycy9kb3du&#10;cmV2LnhtbFBLBQYAAAAABAAEAPUAAACGAwAAAAA=&#10;" path="m,nfl1627148,e" fillcolor="#4672c4" strokeweight=".16667mm">
                  <v:stroke endarrow="block" endcap="round"/>
                  <v:path arrowok="t"/>
                </v:shape>
                <v:shape id="任意多边形 127" o:spid="_x0000_s1038" style="position:absolute;left:7163;top:8183;width:14740;height:2268;visibility:visible;mso-wrap-style:square;v-text-anchor:middle" coordsize="1474016,2267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Uq8IA&#10;AADcAAAADwAAAGRycy9kb3ducmV2LnhtbERPTWsCMRC9F/wPYQRvNeuCraxGEcUqXkrVg8dhM25W&#10;N5MlSXX9902h0Ns83ufMFp1txJ18qB0rGA0zEMSl0zVXCk7HzesERIjIGhvHpOBJARbz3ssMC+0e&#10;/EX3Q6xECuFQoAITY1tIGUpDFsPQtcSJuzhvMSboK6k9PlK4bWSeZW/SYs2pwWBLK0Pl7fBtFXxk&#10;6+d5T3Hjr+PzxOT7iz5uP5Ua9LvlFESkLv6L/9w7nebn7/D7TLpAz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H5SrwgAAANwAAAAPAAAAAAAAAAAAAAAAAJgCAABkcnMvZG93&#10;bnJldi54bWxQSwUGAAAAAAQABAD1AAAAhwMAAAAA&#10;" adj="-11796480,,5400" path="m,226772r1474016,l1474016,,,,,226772xe" filled="f" stroked="f" strokeweight="0">
                  <v:stroke joinstyle="miter" endcap="square"/>
                  <v:formulas/>
                  <v:path arrowok="t" o:connecttype="custom" textboxrect="-15000,0,1489016,297188"/>
                  <v:textbox inset="0,0,0,0">
                    <w:txbxContent>
                      <w:p>
                        <w:pPr>
                          <w:snapToGrid w:val="0"/>
                          <w:spacing w:line="221" w:lineRule="auto"/>
                          <w:jc w:val="center"/>
                          <w:rPr>
                            <w:sz w:val="12"/>
                          </w:rPr>
                        </w:pPr>
                        <w:r>
                          <w:rPr>
                            <w:rFonts w:ascii="Calibri" w:eastAsia="Calibri" w:hAnsi="Calibri"/>
                            <w:color w:val="000000"/>
                            <w:sz w:val="12"/>
                            <w:szCs w:val="12"/>
                          </w:rPr>
                          <w:t>1, Direct Communication Request (</w:t>
                        </w:r>
                        <w:proofErr w:type="spellStart"/>
                        <w:r>
                          <w:rPr>
                            <w:rFonts w:ascii="Calibri" w:eastAsia="Calibri" w:hAnsi="Calibri"/>
                            <w:color w:val="000000"/>
                            <w:sz w:val="12"/>
                            <w:szCs w:val="12"/>
                          </w:rPr>
                          <w:t>relay_indication</w:t>
                        </w:r>
                        <w:proofErr w:type="spellEnd"/>
                        <w:r>
                          <w:rPr>
                            <w:rFonts w:ascii="Calibri" w:eastAsia="Calibri" w:hAnsi="Calibri"/>
                            <w:color w:val="000000"/>
                            <w:sz w:val="12"/>
                            <w:szCs w:val="12"/>
                          </w:rPr>
                          <w:t xml:space="preserve"> enabled)</w:t>
                        </w:r>
                      </w:p>
                    </w:txbxContent>
                  </v:textbox>
                </v:shape>
                <v:shape id="任意多边形 128" o:spid="_x0000_s1039" style="position:absolute;left:6312;top:11968;width:28744;height:60;rotation:18515fd;visibility:visible;mso-wrap-style:square;v-text-anchor:top" coordsize="287436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VSwsQA&#10;AADcAAAADwAAAGRycy9kb3ducmV2LnhtbESPQW/CMAyF75P2HyJP2mUaKRwQKgREEUjshAaIs9WY&#10;tqNxShKg+/fzAWk3W+/5vc+zRe9adacQG88GhoMMFHHpbcOVgeNh8zkBFROyxdYzGfilCIv568sM&#10;c+sf/E33faqUhHDM0UCdUpdrHcuaHMaB74hFO/vgMMkaKm0DPiTctXqUZWPtsGFpqLGjVU3lZX9z&#10;Bj52u5/ia1msw609XS/nYlJoisa8v/XLKahEffo3P6+3VvBHQivPyAR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1UsLEAAAA3AAAAA8AAAAAAAAAAAAAAAAAmAIAAGRycy9k&#10;b3ducmV2LnhtbFBLBQYAAAAABAAEAPUAAACJAwAAAAA=&#10;" path="m,nfl2874366,e" fillcolor="#4672c4" strokeweight=".16667mm">
                  <v:stroke endarrow="block" endcap="round"/>
                  <v:path arrowok="t"/>
                </v:shape>
                <v:shape id="任意多边形 129" o:spid="_x0000_s1040" style="position:absolute;left:6029;top:12917;width:42633;height:60;rotation:4993fd;visibility:visible;mso-wrap-style:square;v-text-anchor:top" coordsize="426331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YnccAA&#10;AADcAAAADwAAAGRycy9kb3ducmV2LnhtbERPzWrCQBC+F3yHZQRvdVMPkqSuUipCTkrTPMCQne6G&#10;ZmdDdo3x7V2h0Nt8fL+zO8yuFxONofOs4G2dgSBuve7YKGi+T685iBCRNfaeScGdAhz2i5cdltrf&#10;+IumOhqRQjiUqMDGOJRShtaSw7D2A3HifvzoMCY4GqlHvKVw18tNlm2lw45Tg8WBPi21v/XVKSgu&#10;RY62zmXVhGNzHirjpsootVrOH+8gIs3xX/znrnSavyng+Uy6QO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MYnccAAAADcAAAADwAAAAAAAAAAAAAAAACYAgAAZHJzL2Rvd25y&#10;ZXYueG1sUEsFBgAAAAAEAAQA9QAAAIUDAAAAAA==&#10;" path="m,nfl4263311,e" fillcolor="#4672c4" strokeweight=".16667mm">
                  <v:stroke endarrow="block" endcap="round"/>
                  <v:path arrowok="t"/>
                </v:shape>
                <v:shape id="Rectangle.20" o:spid="_x0000_s1041" style="position:absolute;left:18046;top:13767;width:8508;height:3402;visibility:visible;mso-wrap-style:square;v-text-anchor:middle" coordsize="907087,3401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qA08cA&#10;AADcAAAADwAAAGRycy9kb3ducmV2LnhtbESPT2vCQBDF70K/wzKFXkQ3VqiSZhURSgv20ujB3obs&#10;5A9mZ0N2jbGfvnMo9DbDe/Peb7Lt6Fo1UB8azwYW8wQUceFtw5WB0/FttgYVIrLF1jMZuFOA7eZh&#10;kmFq/Y2/aMhjpSSEQ4oG6hi7VOtQ1OQwzH1HLFrpe4dR1r7StsebhLtWPyfJi3bYsDTU2NG+puKS&#10;X50Bf/4pPo/hbrm8LK/T9+/VcFgcjHl6HHevoCKN8d/8d/1hBX8p+PKMTKA3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OagNPHAAAA3AAAAA8AAAAAAAAAAAAAAAAAmAIAAGRy&#10;cy9kb3ducmV2LnhtbFBLBQYAAAAABAAEAPUAAACMAwAAAAA=&#10;" adj="-11796480,,5400" path="m,340157r907087,l907087,,,,,340157xe" strokeweight=".09258mm">
                  <v:stroke joinstyle="miter" endcap="square"/>
                  <v:formulas/>
                  <v:path arrowok="t" o:connecttype="custom" o:connectlocs="425400,340157;850801,170079;425400,0;0,170079;425400,170079" o:connectangles="0,0,0,0,0" textboxrect="-15000,0,922087,340157"/>
                  <v:textbox inset="0,0,0,0">
                    <w:txbxContent>
                      <w:p>
                        <w:pPr>
                          <w:snapToGrid w:val="0"/>
                          <w:spacing w:line="264" w:lineRule="auto"/>
                          <w:jc w:val="center"/>
                          <w:rPr>
                            <w:sz w:val="12"/>
                          </w:rPr>
                        </w:pPr>
                        <w:r>
                          <w:rPr>
                            <w:rFonts w:ascii="Calibri" w:eastAsia="Calibri" w:hAnsi="Calibri"/>
                            <w:color w:val="000000"/>
                            <w:sz w:val="12"/>
                            <w:szCs w:val="12"/>
                          </w:rPr>
                          <w:t>2. Decide to participate in the procedure</w:t>
                        </w:r>
                      </w:p>
                    </w:txbxContent>
                  </v:textbox>
                </v:shape>
                <v:shape id="任意多边形 132" o:spid="_x0000_s1042" style="position:absolute;left:22583;top:19068;width:26079;height:60;visibility:visible;mso-wrap-style:square;v-text-anchor:top" coordsize="260787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JxTsMA&#10;AADcAAAADwAAAGRycy9kb3ducmV2LnhtbERP32vCMBB+H+x/CDfwTVM7J9IZZegUcTC1Cns9mrMt&#10;ay4lybT7781A2Nt9fD9vOu9MIy7kfG1ZwXCQgCAurK65VHA6rvoTED4ga2wsk4Jf8jCfPT5MMdP2&#10;yge65KEUMYR9hgqqENpMSl9UZNAPbEscubN1BkOErpTa4TWGm0amSTKWBmuODRW2tKio+M5/jILd&#10;5r1Zb/X+M3+ZpB/L0ZcZabdWqvfUvb2CCNSFf/HdvdFx/nMKf8/EC+Ts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OJxTsMAAADcAAAADwAAAAAAAAAAAAAAAACYAgAAZHJzL2Rv&#10;d25yZXYueG1sUEsFBgAAAAAEAAQA9QAAAIgDAAAAAA==&#10;" path="m,nfl2607874,e" fillcolor="#4672c4" strokeweight=".16667mm">
                  <v:stroke endarrow="block" endcap="round"/>
                  <v:path arrowok="t"/>
                </v:shape>
                <v:shape id="任意多边形 133" o:spid="_x0000_s1043" style="position:absolute;left:21903;top:17254;width:20183;height:2268;visibility:visible;mso-wrap-style:square;v-text-anchor:middle" coordsize="2018268,2267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EiFMMA&#10;AADcAAAADwAAAGRycy9kb3ducmV2LnhtbERP22rCQBB9L/gPywh9q5sLrSG6SlAE24eiaT9gzE6T&#10;0OxsyK4x/ftuoeDbHM511tvJdGKkwbWWFcSLCARxZXXLtYLPj8NTBsJ5ZI2dZVLwQw62m9nDGnNt&#10;b3ymsfS1CCHsclTQeN/nUrqqIYNuYXviwH3ZwaAPcKilHvAWwk0nkyh6kQZbDg0N9rRrqPour0ZB&#10;T3q8FHF0So/Lt4T2r8X7c3ZS6nE+FSsQniZ/F/+7jzrMT1P4eyZc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EiFMMAAADcAAAADwAAAAAAAAAAAAAAAACYAgAAZHJzL2Rv&#10;d25yZXYueG1sUEsFBgAAAAAEAAQA9QAAAIgDAAAAAA==&#10;" adj="-11796480,,5400" path="m,226772r2018268,l2018268,,,,,226772xe" filled="f" stroked="f" strokeweight="0">
                  <v:stroke joinstyle="miter" endcap="square"/>
                  <v:formulas/>
                  <v:path arrowok="t" o:connecttype="custom" textboxrect="-15000,0,2033268,226772"/>
                  <v:textbox inset="0,0,0,0">
                    <w:txbxContent>
                      <w:p>
                        <w:pPr>
                          <w:snapToGrid w:val="0"/>
                          <w:spacing w:line="221" w:lineRule="auto"/>
                          <w:jc w:val="center"/>
                          <w:rPr>
                            <w:sz w:val="12"/>
                          </w:rPr>
                        </w:pPr>
                        <w:r>
                          <w:rPr>
                            <w:rFonts w:ascii="Calibri" w:eastAsia="Calibri" w:hAnsi="Calibri"/>
                            <w:color w:val="000000"/>
                            <w:sz w:val="12"/>
                            <w:szCs w:val="12"/>
                          </w:rPr>
                          <w:t>3, Direct Communication Request</w:t>
                        </w:r>
                      </w:p>
                    </w:txbxContent>
                  </v:textbox>
                </v:shape>
                <v:shape id="任意多边形 134" o:spid="_x0000_s1044" style="position:absolute;left:35056;top:22016;width:13606;height:60;visibility:visible;mso-wrap-style:square;v-text-anchor:top" coordsize="13606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pNo8QA&#10;AADcAAAADwAAAGRycy9kb3ducmV2LnhtbERPTU8CMRC9m/AfmiHxJi2IKAuFGONGT4pIwnXYDrsL&#10;2+mmrez6762Jibd5eZ+zXPe2ERfyoXasYTxSIIgLZ2ouNew+85sHECEiG2wck4ZvCrBeDa6WmBnX&#10;8QddtrEUKYRDhhqqGNtMylBUZDGMXEucuKPzFmOCvpTGY5fCbSMnSs2kxZpTQ4UtPVVUnLdfVsO+&#10;e35ppm+H93t1mt+p3G/yw6nU+nrYPy5AROrjv/jP/WrS/Nsp/D6TLp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aTaPEAAAA3AAAAA8AAAAAAAAAAAAAAAAAmAIAAGRycy9k&#10;b3ducmV2LnhtbFBLBQYAAAAABAAEAPUAAACJAwAAAAA=&#10;" path="m,nfl1360630,e" fillcolor="#4672c4" strokeweight=".16667mm">
                  <v:stroke endarrow="block" endcap="round"/>
                  <v:path arrowok="t"/>
                </v:shape>
                <v:shape id="任意多边形 135" o:spid="_x0000_s1045" style="position:absolute;left:34035;top:19749;width:14740;height:2267;visibility:visible;mso-wrap-style:square;v-text-anchor:middle" coordsize="1474016,2267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g5msIA&#10;AADcAAAADwAAAGRycy9kb3ducmV2LnhtbERPS2sCMRC+C/6HMEJvmtVikdUoYrEtXoqPg8dhM25W&#10;N5MlSXX9940geJuP7zmzRWtrcSUfKscKhoMMBHHhdMWlgsN+3Z+ACBFZY+2YFNwpwGLe7cww1+7G&#10;W7ruYilSCIccFZgYm1zKUBiyGAauIU7cyXmLMUFfSu3xlsJtLUdZ9iEtVpwaDDa0MlRcdn9WwVf2&#10;eT9uKK79eXycmNHmpPffv0q99drlFESkNr7ET/ePTvPfx/B4Jl0g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WDmawgAAANwAAAAPAAAAAAAAAAAAAAAAAJgCAABkcnMvZG93&#10;bnJldi54bWxQSwUGAAAAAAQABAD1AAAAhwMAAAAA&#10;" adj="-11796480,,5400" path="m,226772r1474016,l1474016,,,,,226772xe" filled="f" stroked="f" strokeweight="0">
                  <v:stroke joinstyle="miter" endcap="square"/>
                  <v:formulas/>
                  <v:path arrowok="t" o:connecttype="custom" textboxrect="-15000,0,1489016,226772"/>
                  <v:textbox inset="0,0,0,0">
                    <w:txbxContent>
                      <w:p>
                        <w:pPr>
                          <w:snapToGrid w:val="0"/>
                          <w:spacing w:line="221" w:lineRule="auto"/>
                          <w:jc w:val="center"/>
                          <w:rPr>
                            <w:sz w:val="12"/>
                          </w:rPr>
                        </w:pPr>
                        <w:r>
                          <w:rPr>
                            <w:rFonts w:ascii="Calibri" w:eastAsia="Calibri" w:hAnsi="Calibri"/>
                            <w:color w:val="000000"/>
                            <w:sz w:val="12"/>
                            <w:szCs w:val="12"/>
                          </w:rPr>
                          <w:t>3, Direct Communication Request</w:t>
                        </w:r>
                      </w:p>
                    </w:txbxContent>
                  </v:textbox>
                </v:shape>
                <v:shape id="Rectangle.26" o:spid="_x0000_s1046" style="position:absolute;left:44034;top:22469;width:8206;height:3401;visibility:visible;mso-wrap-style:square;v-text-anchor:middle" coordsize="907087,3401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9PMIA&#10;AADcAAAADwAAAGRycy9kb3ducmV2LnhtbERPy6rCMBDdX/Afwgh3c9FUBZVqFBHEC7rxsdDd0Ixt&#10;sZmUJtbq1xtBcDeH85zpvDGFqKlyuWUFvW4EgjixOudUwfGw6oxBOI+ssbBMCh7kYD5r/Uwx1vbO&#10;O6r3PhUhhF2MCjLvy1hKl2Rk0HVtSRy4i60M+gCrVOoK7yHcFLIfRUNpMOfQkGFJy4yS6/5mFNjT&#10;M9ke3EPz5Tq4/a3Po3rT2yj1224WExCeGv8Vf9z/OswfDOH9TLhAz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P708wgAAANwAAAAPAAAAAAAAAAAAAAAAAJgCAABkcnMvZG93&#10;bnJldi54bWxQSwUGAAAAAAQABAD1AAAAhwMAAAAA&#10;" adj="-11796480,,5400" path="m,340157r907087,l907087,,,,,340157xe" strokeweight=".09258mm">
                  <v:stroke joinstyle="miter" endcap="square"/>
                  <v:formulas/>
                  <v:path arrowok="t" o:connecttype="custom" o:connectlocs="410337,340157;820674,170079;410337,0;0,170079;410337,170079" o:connectangles="0,0,0,0,0" textboxrect="-15000,0,922087,340157"/>
                  <v:textbox inset="0,0,0,0">
                    <w:txbxContent>
                      <w:p>
                        <w:pPr>
                          <w:snapToGrid w:val="0"/>
                          <w:spacing w:line="264" w:lineRule="auto"/>
                          <w:jc w:val="center"/>
                          <w:rPr>
                            <w:sz w:val="12"/>
                          </w:rPr>
                        </w:pPr>
                        <w:r>
                          <w:rPr>
                            <w:rFonts w:ascii="Calibri" w:eastAsia="Calibri" w:hAnsi="Calibri"/>
                            <w:color w:val="000000"/>
                            <w:sz w:val="12"/>
                            <w:szCs w:val="12"/>
                          </w:rPr>
                          <w:t>4. Decide which path to choose</w:t>
                        </w:r>
                      </w:p>
                    </w:txbxContent>
                  </v:textbox>
                </v:shape>
                <v:shape id="任意多边形 137" o:spid="_x0000_s1047" style="position:absolute;left:22583;top:29100;width:26079;height:60;rotation:180;visibility:visible;mso-wrap-style:square;v-text-anchor:top" coordsize="260787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SGPMEA&#10;AADcAAAADwAAAGRycy9kb3ducmV2LnhtbERPS2sCMRC+C/0PYQq9iGZ9UGU1SllaEG/aUvA2JGN2&#10;6WaybKK7/fdGELzNx/ec9bZ3tbhSGyrPCibjDASx9qZiq+Dn+2u0BBEissHaMyn4pwDbzctgjbnx&#10;HR/oeoxWpBAOOSooY2xyKYMuyWEY+4Y4cWffOowJtlaaFrsU7mo5zbJ36bDi1FBiQ0VJ+u94cQrm&#10;XXS7YVf8FvjZ2P1pqm0ftFJvr/3HCkSkPj7FD/fOpPmzBdyfSRfIz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Y0hjzBAAAA3AAAAA8AAAAAAAAAAAAAAAAAmAIAAGRycy9kb3du&#10;cmV2LnhtbFBLBQYAAAAABAAEAPUAAACGAwAAAAA=&#10;" path="m,nfl2607874,e" fillcolor="#4672c4" strokeweight=".16667mm">
                  <v:stroke endarrow="block" endcap="round"/>
                  <v:path arrowok="t"/>
                </v:shape>
                <v:shape id="任意多边形 138" o:spid="_x0000_s1048" style="position:absolute;left:6029;top:34882;width:42633;height:60;rotation:180;visibility:visible;mso-wrap-style:square;v-text-anchor:top" coordsize="426330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25cYA&#10;AADcAAAADwAAAGRycy9kb3ducmV2LnhtbESPQUsDQQyF70L/w5CCN5utgsjaaSmFih6E2ip4THfS&#10;naU7mXVnbNf+enMQvCW8l/e+zBZDaM2J+9REsTCdFGBYqugaqS2879Y3D2BSJnHURmELP5xgMR9d&#10;zah08SxvfNrm2miIpJIs+Jy7EjFVngOlSexYVDvEPlDWta/R9XTW8NDibVHcY6BGtMFTxyvP1XH7&#10;HSy84Nfmsjxc/OajK9C/7uP+CT+tvR4Py0cwmYf8b/67fnaKf6e0+oxOg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25cYAAADcAAAADwAAAAAAAAAAAAAAAACYAgAAZHJz&#10;L2Rvd25yZXYueG1sUEsFBgAAAAAEAAQA9QAAAIsDAAAAAA==&#10;" path="m,nfl4263307,e" fillcolor="#4672c4" strokeweight=".16667mm">
                  <v:stroke endarrow="block" endcap="round"/>
                  <v:path arrowok="t"/>
                </v:shape>
                <v:shape id="任意多边形 140" o:spid="_x0000_s1049" style="position:absolute;left:23604;top:27912;width:20182;height:1021;visibility:visible;mso-wrap-style:square;v-text-anchor:middle" coordsize="2018268,10204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1POscA&#10;AADcAAAADwAAAGRycy9kb3ducmV2LnhtbESPQUsDMRCF70L/Q5iCl9JmFS2yNi2loGhPulrocUym&#10;m6WbybqJ7frvnYPQ2wzvzXvfLFZDaNWJ+tRENnAzK0AR2+garg18fjxNH0CljOywjUwGfinBajm6&#10;WmDp4pnf6VTlWkkIpxIN+Jy7UutkPQVMs9gRi3aIfcAsa19r1+NZwkOrb4tirgM2LA0eO9p4ssfq&#10;Jxg47Cavm/3zbr79roavyf2b9dtkjbkeD+tHUJmGfDH/X784wb8TfHlGJtD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WNTzrHAAAA3AAAAA8AAAAAAAAAAAAAAAAAmAIAAGRy&#10;cy9kb3ducmV2LnhtbFBLBQYAAAAABAAEAPUAAACMAwAAAAA=&#10;" adj="-11796480,,5400" path="m,102047r2018268,l2018268,,,,,102047xe" filled="f" stroked="f" strokeweight="0">
                  <v:stroke joinstyle="miter" endcap="square"/>
                  <v:formulas/>
                  <v:path arrowok="t" o:connecttype="custom" textboxrect="-15000,0,2033268,131063"/>
                  <v:textbox inset="0,0,0,0">
                    <w:txbxContent>
                      <w:p>
                        <w:pPr>
                          <w:snapToGrid w:val="0"/>
                          <w:spacing w:line="221" w:lineRule="auto"/>
                          <w:jc w:val="center"/>
                          <w:rPr>
                            <w:sz w:val="12"/>
                          </w:rPr>
                        </w:pPr>
                        <w:r>
                          <w:rPr>
                            <w:rFonts w:ascii="Calibri" w:eastAsia="Calibri" w:hAnsi="Calibri"/>
                            <w:color w:val="000000"/>
                            <w:sz w:val="12"/>
                            <w:szCs w:val="12"/>
                          </w:rPr>
                          <w:t>4, Direct Communication Accept</w:t>
                        </w:r>
                      </w:p>
                    </w:txbxContent>
                  </v:textbox>
                </v:shape>
                <v:shape id="任意多边形 141" o:spid="_x0000_s1050" style="position:absolute;left:19635;top:33409;width:18709;height:2267;visibility:visible;mso-wrap-style:square;v-text-anchor:middle" coordsize="1870866,2267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FUhcQA&#10;AADcAAAADwAAAGRycy9kb3ducmV2LnhtbERP22rCQBB9L/gPywh9kbqxqJTUjdiWgoIQGsXnaXZy&#10;wexsmt3G+PeuUOjbHM51VuvBNKKnztWWFcymEQji3OqaSwXHw+fTCwjnkTU2lknBlRysk9HDCmNt&#10;L/xFfeZLEULYxaig8r6NpXR5RQbd1LbEgStsZ9AH2JVSd3gJ4aaRz1G0lAZrDg0VtvReUX7Ofo0C&#10;Pf8otuV3+obZZJH+nPbpJN31Sj2Oh80rCE+D/xf/ubc6zJ/P4P5MuEA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3hVIXEAAAA3AAAAA8AAAAAAAAAAAAAAAAAmAIAAGRycy9k&#10;b3ducmV2LnhtbFBLBQYAAAAABAAEAPUAAACJAwAAAAA=&#10;" adj="-11796480,,5400" path="m,226772r1870866,l1870866,,,,,226772xe" filled="f" stroked="f" strokeweight="0">
                  <v:stroke joinstyle="miter" endcap="square"/>
                  <v:formulas/>
                  <v:path arrowok="t" o:connecttype="custom" textboxrect="-15000,0,1885866,226772"/>
                  <v:textbox inset="0,0,0,0">
                    <w:txbxContent>
                      <w:p>
                        <w:pPr>
                          <w:snapToGrid w:val="0"/>
                          <w:spacing w:line="221" w:lineRule="auto"/>
                          <w:jc w:val="center"/>
                          <w:rPr>
                            <w:sz w:val="12"/>
                          </w:rPr>
                        </w:pPr>
                        <w:r>
                          <w:rPr>
                            <w:rFonts w:ascii="Calibri" w:eastAsia="Calibri" w:hAnsi="Calibri"/>
                            <w:color w:val="000000"/>
                            <w:sz w:val="12"/>
                            <w:szCs w:val="12"/>
                          </w:rPr>
                          <w:t>4, Direct Communication Accept</w:t>
                        </w:r>
                      </w:p>
                    </w:txbxContent>
                  </v:textbox>
                </v:shape>
                <v:shape id="Rectangle.32" o:spid="_x0000_s1051" style="position:absolute;left:1947;top:35623;width:10205;height:2267;visibility:visible;mso-wrap-style:square;v-text-anchor:middle" coordsize="1020472,2267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O3lr4A&#10;AADcAAAADwAAAGRycy9kb3ducmV2LnhtbERPy6rCMBDdC/5DGMGdJhYRqUYRQdCN+PqAoRnbYjMp&#10;TbTVrzcXLribw3nOct3ZSryo8aVjDZOxAkGcOVNyruF23Y3mIHxANlg5Jg1v8rBe9XtLTI1r+Uyv&#10;S8hFDGGfooYihDqV0mcFWfRjVxNH7u4aiyHCJpemwTaG20omSs2kxZJjQ4E1bQvKHpen1fBRrTyr&#10;++4g62OeTZLjI+lOSuvhoNssQATqwk/8796bOH+awN8z8QK5+g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JTt5a+AAAA3AAAAA8AAAAAAAAAAAAAAAAAmAIAAGRycy9kb3ducmV2&#10;LnhtbFBLBQYAAAAABAAEAPUAAACDAwAAAAA=&#10;" adj="-11796480,,5400" path="m,226772r1020472,l1020472,,,,,226772xe" strokeweight=".09258mm">
                  <v:stroke joinstyle="miter" endcap="square"/>
                  <v:formulas/>
                  <v:path arrowok="t" o:connecttype="custom" o:connectlocs="510236,226772;1020472,113386;510236,0;0,113386;510236,113386" o:connectangles="0,0,0,0,0" textboxrect="-15000,0,1035473,226772"/>
                  <v:textbox inset="0,0,0,0">
                    <w:txbxContent>
                      <w:p>
                        <w:pPr>
                          <w:snapToGrid w:val="0"/>
                          <w:spacing w:line="264" w:lineRule="auto"/>
                          <w:jc w:val="center"/>
                          <w:rPr>
                            <w:sz w:val="12"/>
                          </w:rPr>
                        </w:pPr>
                        <w:r>
                          <w:rPr>
                            <w:rFonts w:ascii="Calibri" w:eastAsia="Calibri" w:hAnsi="Calibri"/>
                            <w:color w:val="000000"/>
                            <w:sz w:val="12"/>
                            <w:szCs w:val="12"/>
                          </w:rPr>
                          <w:t>5. Decide which path to use</w:t>
                        </w:r>
                      </w:p>
                    </w:txbxContent>
                  </v:textbox>
                </v:shape>
                <v:shape id="Rectangle.34" o:spid="_x0000_s1052" style="position:absolute;left:1947;top:40838;width:49436;height:2268;visibility:visible;mso-wrap-style:square;v-text-anchor:middle" coordsize="4943622,2267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u+JMEA&#10;AADcAAAADwAAAGRycy9kb3ducmV2LnhtbERP32vCMBB+H/g/hBN8m6lVhnRGEUHYm6wK4tvR3Npi&#10;cwlNbDP/+mUw2Nt9fD9vs4umEwP1vrWsYDHPQBBXVrdcK7icj69rED4ga+wsk4Jv8rDbTl42WGg7&#10;8icNZahFCmFfoIImBFdI6auGDPq5dcSJ+7K9wZBgX0vd45jCTSfzLHuTBltODQ06OjRU3cuHUaD3&#10;dHbx0F3r52WxjKc8Hm8uKjWbxv07iEAx/Iv/3B86zV+t4PeZdIHc/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LviTBAAAA3AAAAA8AAAAAAAAAAAAAAAAAmAIAAGRycy9kb3du&#10;cmV2LnhtbFBLBQYAAAAABAAEAPUAAACGAwAAAAA=&#10;" adj="-11796480,,5400" path="m,226772r4943622,l4943622,,,,,226772xe" strokeweight=".09258mm">
                  <v:stroke joinstyle="miter" endcap="square"/>
                  <v:formulas/>
                  <v:path arrowok="t" o:connecttype="custom" o:connectlocs="2471811,226772;4943622,113386;2471811,0;0,113386;2471811,113386" o:connectangles="0,0,0,0,0" textboxrect="-15000,0,4958623,226772"/>
                  <v:textbox inset="0,0,0,0">
                    <w:txbxContent>
                      <w:p>
                        <w:pPr>
                          <w:snapToGrid w:val="0"/>
                          <w:spacing w:line="264" w:lineRule="auto"/>
                          <w:jc w:val="center"/>
                          <w:rPr>
                            <w:sz w:val="12"/>
                          </w:rPr>
                        </w:pPr>
                        <w:r>
                          <w:rPr>
                            <w:rFonts w:ascii="Calibri" w:eastAsia="Calibri" w:hAnsi="Calibri"/>
                            <w:color w:val="000000"/>
                            <w:sz w:val="12"/>
                            <w:szCs w:val="12"/>
                          </w:rPr>
                          <w:t>6b. End-to-end PC5 link establishment for L2 UE-to-UE Relay case</w:t>
                        </w:r>
                      </w:p>
                    </w:txbxContent>
                  </v:textbox>
                </v:shape>
                <v:group id="Group 2" o:spid="_x0000_s1053" style="position:absolute;left:22433;top:26212;width:26379;height:1814;rotation:180;flip:x y" coordorigin="22433,26212" coordsize="26378,18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a9YATwwAAANoAAAAP&#10;AAAAAAAAAAAAAAAAAKoCAABkcnMvZG93bnJldi54bWxQSwUGAAAAAAQABAD6AAAAmgMAAAAA&#10;">
                  <v:shape id="任意多边形 1110" o:spid="_x0000_s1054" style="position:absolute;left:22583;top:26212;width:26079;height:1814;visibility:visible;mso-wrap-style:square;v-text-anchor:top" coordsize="2607874,1814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k0k8YA&#10;AADdAAAADwAAAGRycy9kb3ducmV2LnhtbESPQUvDQBCF74X+h2UK3uwmCo3EbosoLUUPrVHR45Ad&#10;k2B2Nuyubfz3nYPQ2wzvzXvfLNej69WRQuw8G8jnGSji2tuOGwPvb5vrO1AxIVvsPZOBP4qwXk0n&#10;SyytP/ErHavUKAnhWKKBNqWh1DrWLTmMcz8Qi/btg8Mka2i0DXiScNfrmyxbaIcdS0OLAz22VP9U&#10;v87A7UdRPfGOXw5bDAUVX4ts//lszNVsfLgHlWhMF/P/9c4Kfp4Lv3wjI+jVG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1k0k8YAAADdAAAADwAAAAAAAAAAAAAAAACYAgAAZHJz&#10;L2Rvd25yZXYueG1sUEsFBgAAAAAEAAQA9QAAAIsDAAAAAA==&#10;" path="m,90709l90709,r,45354l2517164,45354,2517165,r90709,90709l2517165,181417r,-45354l90709,136063r,45354l,90709xe" strokeweight=".16667mm">
                    <v:stroke endcap="square"/>
                    <v:path arrowok="t"/>
                  </v:shape>
                  <v:shapetype id="_x0000_t202" coordsize="21600,21600" o:spt="202" path="m,l,21600r21600,l21600,xe">
                    <v:stroke joinstyle="miter"/>
                    <v:path gradientshapeok="t" o:connecttype="rect"/>
                  </v:shapetype>
                  <v:shape id="Text 3" o:spid="_x0000_s1055" type="#_x0000_t202" style="position:absolute;left:22433;top:26389;width:26379;height:1470;rotation:18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QjcUA&#10;AADaAAAADwAAAGRycy9kb3ducmV2LnhtbESPQWsCMRSE7wX/Q3gFbzXbSqWsRqkVrfRgUYvU22Pz&#10;drO4eVk2UVd/vSkIPQ4z8w0zmrS2EidqfOlYwXMvAUGcOV1yoeBnO396A+EDssbKMSm4kIfJuPMw&#10;wlS7M6/ptAmFiBD2KSowIdSplD4zZNH3XE0cvdw1FkOUTSF1g+cIt5V8SZKBtFhyXDBY04eh7LA5&#10;WgWvbrH7/cpxa2ffn/lqf11P91OjVPexfR+CCNSG//C9vdQK+vB3Jd4AO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9tCNxQAAANoAAAAPAAAAAAAAAAAAAAAAAJgCAABkcnMv&#10;ZG93bnJldi54bWxQSwUGAAAAAAQABAD1AAAAigMAAAAA&#10;" filled="f" stroked="f">
                    <v:textbox inset="0,0,0,0">
                      <w:txbxContent>
                        <w:p>
                          <w:pPr>
                            <w:snapToGrid w:val="0"/>
                            <w:spacing w:line="264" w:lineRule="auto"/>
                            <w:jc w:val="center"/>
                            <w:rPr>
                              <w:sz w:val="12"/>
                            </w:rPr>
                          </w:pPr>
                          <w:r>
                            <w:rPr>
                              <w:rFonts w:ascii="Calibri" w:eastAsia="Calibri" w:hAnsi="Calibri"/>
                              <w:color w:val="000000"/>
                              <w:sz w:val="12"/>
                              <w:szCs w:val="12"/>
                            </w:rPr>
                            <w:t>Security Establishment</w:t>
                          </w:r>
                        </w:p>
                      </w:txbxContent>
                    </v:textbox>
                  </v:shape>
                </v:group>
                <v:group id="Group 4" o:spid="_x0000_s1056" style="position:absolute;left:5879;top:28593;width:16854;height:1814;rotation:180;flip:x y" coordorigin="5879,28593" coordsize="16854,18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6UL38wwAAANoAAAAP&#10;AAAAAAAAAAAAAAAAAKoCAABkcnMvZG93bnJldi54bWxQSwUGAAAAAAQABAD6AAAAmgMAAAAA&#10;">
                  <v:shape id="Simple Double Arrow.1001" o:spid="_x0000_s1057" style="position:absolute;left:6029;top:28593;width:16554;height:1814;visibility:visible;mso-wrap-style:square;v-text-anchor:top" coordsize="1655433,1814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kBi74A&#10;AADdAAAADwAAAGRycy9kb3ducmV2LnhtbERPywrCMBC8C/5DWMGbTVUUrUYRQVA8+cDz0qxtsdmU&#10;Jtb690YQnNMuszOzs1y3phQN1a6wrGAYxSCIU6sLzhRcL7vBDITzyBpLy6TgTQ7Wq25niYm2Lz5R&#10;c/aZCCbsElSQe18lUro0J4MushVx4O62NujDWmdS1/gK5qaUozieSoMFh4QcK9rmlD7OT6PgyHai&#10;Y0v7Dbbj03he3JrJwSjV77WbBQhPrf8f/9R7Hd4PgG+bMIJcf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1JAYu+AAAA3QAAAA8AAAAAAAAAAAAAAAAAmAIAAGRycy9kb3ducmV2&#10;LnhtbFBLBQYAAAAABAAEAPUAAACDAwAAAAA=&#10;" path="m,90709l90709,r,45354l1564724,45354r,-45354l1655433,90709r-90709,90708l1564724,136063r-1474015,l90709,181417,,90709xe" strokeweight=".16667mm">
                    <v:stroke endcap="square"/>
                    <v:path arrowok="t"/>
                  </v:shape>
                  <v:shape id="Text 5" o:spid="_x0000_s1058" type="#_x0000_t202" style="position:absolute;left:5879;top:28883;width:16854;height:1470;rotation:18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PtYsUA&#10;AADaAAAADwAAAGRycy9kb3ducmV2LnhtbESPW2sCMRSE3wv9D+EIvtWshUrZGsULreJDxQuib4fN&#10;2c3Szcmyibr665uC0Mdh5pthhuPWVuJCjS8dK+j3EhDEmdMlFwr2u8+XdxA+IGusHJOCG3kYj56f&#10;hphqd+UNXbahELGEfYoKTAh1KqXPDFn0PVcTRy93jcUQZVNI3eA1lttKvibJQFosOS4YrGlmKPvZ&#10;nq2CN/d1OK5y3Nn5epF/n+6b6WlqlOp22skHiEBt+A8/6KWOHPxdiTdAj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U+1ixQAAANoAAAAPAAAAAAAAAAAAAAAAAJgCAABkcnMv&#10;ZG93bnJldi54bWxQSwUGAAAAAAQABAD1AAAAigMAAAAA&#10;" filled="f" stroked="f">
                    <v:textbox inset="0,0,0,0">
                      <w:txbxContent>
                        <w:p>
                          <w:pPr>
                            <w:snapToGrid w:val="0"/>
                            <w:spacing w:line="264" w:lineRule="auto"/>
                            <w:jc w:val="center"/>
                            <w:rPr>
                              <w:sz w:val="12"/>
                            </w:rPr>
                          </w:pPr>
                          <w:r>
                            <w:rPr>
                              <w:rFonts w:ascii="Calibri" w:eastAsia="Calibri" w:hAnsi="Calibri"/>
                              <w:color w:val="000000"/>
                              <w:sz w:val="12"/>
                              <w:szCs w:val="12"/>
                            </w:rPr>
                            <w:t>Security Establishment</w:t>
                          </w:r>
                        </w:p>
                      </w:txbxContent>
                    </v:textbox>
                  </v:shape>
                </v:group>
                <v:shape id="任意多边形 1112" o:spid="_x0000_s1059" style="position:absolute;left:6029;top:31282;width:16554;height:60;rotation:-11783621fd;visibility:visible;mso-wrap-style:square;v-text-anchor:top" coordsize="16554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cM7MMA&#10;AADdAAAADwAAAGRycy9kb3ducmV2LnhtbERPTWsCMRC9C/6HMII3zcaKtFujaIvgoRS0Ba/jZrq7&#10;uJksSaq7/94UCt7m8T5nue5sI67kQ+1Yg5pmIIgLZ2ouNXx/7SbPIEJENtg4Jg09BVivhoMl5sbd&#10;+EDXYyxFCuGQo4YqxjaXMhQVWQxT1xIn7sd5izFBX0rj8ZbCbSNnWbaQFmtODRW29FZRcTn+Wg3d&#10;i/voezM/nUkZn22f1OX9c6f1eNRtXkFE6uJD/O/emzRfqRn8fZNO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cM7MMAAADdAAAADwAAAAAAAAAAAAAAAACYAgAAZHJzL2Rv&#10;d25yZXYueG1sUEsFBgAAAAAEAAQA9QAAAIgDAAAAAA==&#10;" path="m,nfl1655443,e" fillcolor="#4672c4" strokeweight=".16667mm">
                  <v:stroke endarrow="block" endcap="round"/>
                  <v:path arrowok="t"/>
                </v:shape>
                <v:shape id="任意多边形 1113" o:spid="_x0000_s1060" style="position:absolute;left:5745;top:30183;width:18709;height:1020;visibility:visible;mso-wrap-style:square;v-text-anchor:middle" coordsize="1870866,10204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Ei98QA&#10;AADdAAAADwAAAGRycy9kb3ducmV2LnhtbERPS2vCQBC+C/0PyxS8SN3EFivRVURQemt9IPE2ZMck&#10;uDsbsqum/75bELzNx/ec2aKzRtyo9bVjBekwAUFcOF1zqeCwX79NQPiArNE4JgW/5GExf+nNMNPu&#10;zlu67UIpYgj7DBVUITSZlL6oyKIfuoY4cmfXWgwRtqXULd5juDVylCRjabHm2FBhQ6uKisvuahWc&#10;Bvv15vytj2X+aQ6XvPsw/idXqv/aLacgAnXhKX64v3Scn6bv8P9NPEH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BIvfEAAAA3QAAAA8AAAAAAAAAAAAAAAAAmAIAAGRycy9k&#10;b3ducmV2LnhtbFBLBQYAAAAABAAEAPUAAACJAwAAAAA=&#10;" adj="-11796480,,5400" path="m,102047r1870866,l1870866,,,,,102047xe" filled="f" stroked="f" strokeweight="0">
                  <v:stroke joinstyle="miter" endcap="square"/>
                  <v:formulas/>
                  <v:path arrowok="t" o:connecttype="custom" textboxrect="-15000,0,1885866,131063"/>
                  <v:textbox inset="0,0,0,0">
                    <w:txbxContent>
                      <w:p>
                        <w:pPr>
                          <w:snapToGrid w:val="0"/>
                          <w:spacing w:line="221" w:lineRule="auto"/>
                          <w:jc w:val="center"/>
                          <w:rPr>
                            <w:sz w:val="12"/>
                          </w:rPr>
                        </w:pPr>
                        <w:r>
                          <w:rPr>
                            <w:rFonts w:ascii="Calibri" w:eastAsia="Calibri" w:hAnsi="Calibri"/>
                            <w:color w:val="000000"/>
                            <w:sz w:val="12"/>
                            <w:szCs w:val="12"/>
                          </w:rPr>
                          <w:t>4, Direct Communication Accept</w:t>
                        </w:r>
                      </w:p>
                    </w:txbxContent>
                  </v:textbox>
                </v:shape>
                <v:group id="Group 6" o:spid="_x0000_s1061" style="position:absolute;left:5879;top:31994;width:42933;height:1814;rotation:180;flip:x y" coordorigin="5879,31994" coordsize="42933,18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lzoYQwwAAANoAAAAP&#10;AAAAAAAAAAAAAAAAAKoCAABkcnMvZG93bnJldi54bWxQSwUGAAAAAAQABAD6AAAAmgMAAAAA&#10;">
                  <v:shape id="Simple Double Arrow.1004" o:spid="_x0000_s1062" style="position:absolute;left:6029;top:31994;width:42633;height:1814;visibility:visible;mso-wrap-style:square;v-text-anchor:top" coordsize="4263307,1814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iWgcIA&#10;AADdAAAADwAAAGRycy9kb3ducmV2LnhtbERPTYvCMBC9C/6HMMLeNK2ISNcoqyK4CoLVg8ehmW3L&#10;NpPSRNvdX28Ewds83ufMl52pxJ0aV1pWEI8iEMSZ1SXnCi7n7XAGwnlkjZVlUvBHDpaLfm+OibYt&#10;n+ie+lyEEHYJKii8rxMpXVaQQTeyNXHgfmxj0AfY5FI32IZwU8lxFE2lwZJDQ4E1rQvKftObUbDX&#10;x/Uqveat3ZwOnV99X+V/ZZX6GHRfnyA8df4tfrl3OsyP4wk8vwkn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uJaBwgAAAN0AAAAPAAAAAAAAAAAAAAAAAJgCAABkcnMvZG93&#10;bnJldi54bWxQSwUGAAAAAAQABAD1AAAAhwMAAAAA&#10;" path="m,90709l90709,r,45354l4172597,45354,4172599,r90708,90709l4172599,181417r,-45354l90709,136063r,45354l,90709xe" strokeweight=".16667mm">
                    <v:stroke endcap="square"/>
                    <v:path arrowok="t"/>
                  </v:shape>
                  <v:shape id="Text 7" o:spid="_x0000_s1063" type="#_x0000_t202" style="position:absolute;left:5879;top:32228;width:42933;height:1470;rotation:18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3WjsUA&#10;AADaAAAADwAAAGRycy9kb3ducmV2LnhtbESPQWsCMRSE7wX/Q3gFbzXbgrWsRqkVrfRgUYvU22Pz&#10;drO4eVk2UVd/vSkIPQ4z8w0zmrS2EidqfOlYwXMvAUGcOV1yoeBnO396A+EDssbKMSm4kIfJuPMw&#10;wlS7M6/ptAmFiBD2KSowIdSplD4zZNH3XE0cvdw1FkOUTSF1g+cIt5V8SZJXabHkuGCwpg9D2WFz&#10;tAr6brH7/cpxa2ffn/lqf11P91OjVPexfR+CCNSG//C9vdQKBvB3Jd4AO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zdaOxQAAANoAAAAPAAAAAAAAAAAAAAAAAJgCAABkcnMv&#10;ZG93bnJldi54bWxQSwUGAAAAAAQABAD1AAAAigMAAAAA&#10;" filled="f" stroked="f">
                    <v:textbox inset="0,0,0,0">
                      <w:txbxContent>
                        <w:p>
                          <w:pPr>
                            <w:snapToGrid w:val="0"/>
                            <w:spacing w:line="264" w:lineRule="auto"/>
                            <w:jc w:val="center"/>
                            <w:rPr>
                              <w:sz w:val="12"/>
                            </w:rPr>
                          </w:pPr>
                          <w:r>
                            <w:rPr>
                              <w:rFonts w:ascii="Calibri" w:eastAsia="Calibri" w:hAnsi="Calibri"/>
                              <w:color w:val="000000"/>
                              <w:sz w:val="12"/>
                              <w:szCs w:val="12"/>
                            </w:rPr>
                            <w:t>Security Establishment</w:t>
                          </w:r>
                        </w:p>
                      </w:txbxContent>
                    </v:textbox>
                  </v:shape>
                </v:group>
                <v:shape id="Rectangle.1005" o:spid="_x0000_s1064" style="position:absolute;left:16573;top:4470;width:10766;height:3401;visibility:visible;mso-wrap-style:square;v-text-anchor:middle" coordsize="1201890,3401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yH/8IA&#10;AADdAAAADwAAAGRycy9kb3ducmV2LnhtbERPS2vCQBC+F/oflhF6KXUTwTZEVykBsUcfhV6H7JiN&#10;ZmdjdjXx37uC0Nt8fM+ZLwfbiCt1vnasIB0nIIhLp2uuFPzuVx8ZCB+QNTaOScGNPCwXry9zzLXr&#10;eUvXXahEDGGfowITQptL6UtDFv3YtcSRO7jOYoiwq6TusI/htpGTJPmUFmuODQZbKgyVp93FKij+&#10;zGWdvRebad3Ivjh+nY+yRKXeRsP3DESgIfyLn+4fHeen6RQe38QT5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DIf/wgAAAN0AAAAPAAAAAAAAAAAAAAAAAJgCAABkcnMvZG93&#10;bnJldi54bWxQSwUGAAAAAAQABAD1AAAAhwMAAAAA&#10;" adj="-11796480,,5400" path="m,340157r1201890,l1201890,,,,,340157xe" strokeweight=".09258mm">
                  <v:stroke joinstyle="miter" endcap="square"/>
                  <v:formulas/>
                  <v:path arrowok="t" o:connecttype="custom" o:connectlocs="538333,340157;1076665,170079;538333,0;0,170079;538333,170079" o:connectangles="0,0,0,0,0" textboxrect="-15000,0,1216890,340157"/>
                  <v:textbox inset="0,0,0,0">
                    <w:txbxContent>
                      <w:p>
                        <w:pPr>
                          <w:snapToGrid w:val="0"/>
                          <w:spacing w:line="264" w:lineRule="auto"/>
                          <w:jc w:val="center"/>
                          <w:rPr>
                            <w:sz w:val="12"/>
                          </w:rPr>
                        </w:pPr>
                        <w:r>
                          <w:rPr>
                            <w:rFonts w:ascii="Calibri" w:eastAsia="Calibri" w:hAnsi="Calibri"/>
                            <w:color w:val="000000"/>
                            <w:sz w:val="12"/>
                            <w:szCs w:val="12"/>
                          </w:rPr>
                          <w:t>0. Service authorization and parameter provisioning</w:t>
                        </w:r>
                      </w:p>
                    </w:txbxContent>
                  </v:textbox>
                </v:shape>
                <v:shape id="Rectangle.1006" o:spid="_x0000_s1065" style="position:absolute;left:29044;top:4470;width:11030;height:3401;visibility:visible;mso-wrap-style:square;v-text-anchor:middle" coordsize="1201890,3401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4ZiMIA&#10;AADdAAAADwAAAGRycy9kb3ducmV2LnhtbERPS2vCQBC+F/oflhF6KXUTQRuiq5SA2KOPQq9DdsxG&#10;s7Mxu5r4712h0Nt8fM9ZrAbbiBt1vnasIB0nIIhLp2uuFPwc1h8ZCB+QNTaOScGdPKyWry8LzLXr&#10;eUe3fahEDGGfowITQptL6UtDFv3YtcSRO7rOYoiwq6TusI/htpGTJJlJizXHBoMtFYbK8/5qFRS/&#10;5rrJ3ovttG5kX5w+LydZolJvo+FrDiLQEP7Ff+5vHeen6Qye38QT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3hmIwgAAAN0AAAAPAAAAAAAAAAAAAAAAAJgCAABkcnMvZG93&#10;bnJldi54bWxQSwUGAAAAAAQABAD1AAAAhwMAAAAA&#10;" adj="-11796480,,5400" path="m,340157r1201890,l1201890,,,,,340157xe" strokeweight=".09258mm">
                  <v:stroke joinstyle="miter" endcap="square"/>
                  <v:formulas/>
                  <v:path arrowok="t" o:connecttype="custom" o:connectlocs="551469,340157;1102938,170079;551469,0;0,170079;551469,170079" o:connectangles="0,0,0,0,0" textboxrect="-15000,0,1216890,340157"/>
                  <v:textbox inset="0,0,0,0">
                    <w:txbxContent>
                      <w:p>
                        <w:pPr>
                          <w:snapToGrid w:val="0"/>
                          <w:spacing w:line="264" w:lineRule="auto"/>
                          <w:jc w:val="center"/>
                          <w:rPr>
                            <w:sz w:val="12"/>
                          </w:rPr>
                        </w:pPr>
                        <w:r>
                          <w:rPr>
                            <w:rFonts w:ascii="Calibri" w:eastAsia="Calibri" w:hAnsi="Calibri"/>
                            <w:color w:val="000000"/>
                            <w:sz w:val="12"/>
                            <w:szCs w:val="12"/>
                          </w:rPr>
                          <w:t>0. Service authorization and parameter provisioning</w:t>
                        </w:r>
                      </w:p>
                    </w:txbxContent>
                  </v:textbox>
                </v:shape>
                <v:shape id="Rectangle.1007" o:spid="_x0000_s1066" style="position:absolute;left:42650;top:4470;width:10382;height:3401;visibility:visible;mso-wrap-style:square;v-text-anchor:middle" coordsize="1201890,3401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8E8IA&#10;AADdAAAADwAAAGRycy9kb3ducmV2LnhtbERPTWvCQBC9F/oflin0UnSTglViVikB0WPVQq9Ddswm&#10;ZmfT7Griv+8KQm/zeJ+Tr0fbiiv1vnasIJ0mIIhLp2uuFHwfN5MFCB+QNbaOScGNPKxXz085ZtoN&#10;vKfrIVQihrDPUIEJocuk9KUhi37qOuLInVxvMUTYV1L3OMRw28r3JPmQFmuODQY7KgyV58PFKih+&#10;zGW7eCu+ZnUrh6KZ/zayRKVeX8bPJYhAY/gXP9w7Heen6Rzu38QT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krwTwgAAAN0AAAAPAAAAAAAAAAAAAAAAAJgCAABkcnMvZG93&#10;bnJldi54bWxQSwUGAAAAAAQABAD1AAAAhwMAAAAA&#10;" adj="-11796480,,5400" path="m,340157r1201890,l1201890,,,,,340157xe" strokeweight=".09258mm">
                  <v:stroke joinstyle="miter" endcap="square"/>
                  <v:formulas/>
                  <v:path arrowok="t" o:connecttype="custom" o:connectlocs="519136,340157;1038272,170079;519136,0;0,170079;519136,170079" o:connectangles="0,0,0,0,0" textboxrect="-15000,0,1216890,340157"/>
                  <v:textbox inset="0,0,0,0">
                    <w:txbxContent>
                      <w:p>
                        <w:pPr>
                          <w:snapToGrid w:val="0"/>
                          <w:spacing w:line="264" w:lineRule="auto"/>
                          <w:jc w:val="center"/>
                          <w:rPr>
                            <w:sz w:val="12"/>
                          </w:rPr>
                        </w:pPr>
                        <w:r>
                          <w:rPr>
                            <w:rFonts w:ascii="Calibri" w:eastAsia="Calibri" w:hAnsi="Calibri"/>
                            <w:color w:val="000000"/>
                            <w:sz w:val="12"/>
                            <w:szCs w:val="12"/>
                          </w:rPr>
                          <w:t>0. Service authorization and parameter provisioning</w:t>
                        </w:r>
                      </w:p>
                    </w:txbxContent>
                  </v:textbox>
                </v:shape>
                <v:shape id="Rectangle.1008" o:spid="_x0000_s1067" style="position:absolute;left:1947;top:38231;width:49436;height:2267;visibility:visible;mso-wrap-style:square;v-text-anchor:middle" coordsize="4943622,2267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32UcQA&#10;AADdAAAADwAAAGRycy9kb3ducmV2LnhtbESPT2vDMAzF74N9B6PBbouTDsrI6oZQKPQ2+gfGbiLW&#10;krBYNrHbev3002HQm8R7eu+nVZPdpC40x9GzgaooQRF33o7cGzgdty9voGJCtjh5JgO/FKFZPz6s&#10;sLb+ynu6HFKvJIRjjQaGlEKtdewGchgLH4hF+/azwyTr3Gs741XC3aQXZbnUDkeWhgEDbQbqfg5n&#10;Z8C2dAx5M332t1P1mj8WefsVsjHPT7l9B5Uop7v5/3pnBb+qBFe+kRH0+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d9lHEAAAA3QAAAA8AAAAAAAAAAAAAAAAAmAIAAGRycy9k&#10;b3ducmV2LnhtbFBLBQYAAAAABAAEAPUAAACJAwAAAAA=&#10;" adj="-11796480,,5400" path="m,226772r4943622,l4943622,,,,,226772xe" strokeweight=".09258mm">
                  <v:stroke joinstyle="miter" endcap="square"/>
                  <v:formulas/>
                  <v:path arrowok="t" o:connecttype="custom" o:connectlocs="2471811,226772;4943622,113386;2471811,0;0,113386;2471811,113386" o:connectangles="0,0,0,0,0" textboxrect="-15000,0,4958623,226772"/>
                  <v:textbox inset="0,0,0,0">
                    <w:txbxContent>
                      <w:p>
                        <w:pPr>
                          <w:snapToGrid w:val="0"/>
                          <w:spacing w:line="264" w:lineRule="auto"/>
                          <w:jc w:val="center"/>
                          <w:rPr>
                            <w:sz w:val="12"/>
                          </w:rPr>
                        </w:pPr>
                        <w:r>
                          <w:rPr>
                            <w:rFonts w:ascii="Calibri" w:eastAsia="Calibri" w:hAnsi="Calibri"/>
                            <w:color w:val="000000"/>
                            <w:sz w:val="12"/>
                            <w:szCs w:val="12"/>
                          </w:rPr>
                          <w:t>6a. IP allocation and retrieval for L3 UE-to-UE Relay case</w:t>
                        </w:r>
                      </w:p>
                    </w:txbxContent>
                  </v:textbox>
                </v:shape>
                <v:shape id="Rectangle.1009" o:spid="_x0000_s1068" style="position:absolute;left:30517;top:13767;width:8154;height:3402;visibility:visible;mso-wrap-style:square;v-text-anchor:middle" coordsize="907087,3401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wNB8QA&#10;AADdAAAADwAAAGRycy9kb3ducmV2LnhtbERPTYvCMBC9C/6HMAt7EU27gq5do4ggu6AXdQ96G5qx&#10;LTaT0sRa/fVGELzN433OdN6aUjRUu8KygngQgSBOrS44U/C/X/W/QTiPrLG0TApu5GA+63ammGh7&#10;5S01O5+JEMIuQQW591UipUtzMugGtiIO3MnWBn2AdSZ1jdcQbkr5FUUjabDg0JBjRcuc0vPuYhTY&#10;wz3d7N1N8+k8vPR+j+NmHa+V+vxoFz8gPLX+LX65/3SYH8cTeH4TTp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cDQfEAAAA3QAAAA8AAAAAAAAAAAAAAAAAmAIAAGRycy9k&#10;b3ducmV2LnhtbFBLBQYAAAAABAAEAPUAAACJAwAAAAA=&#10;" adj="-11796480,,5400" path="m,340157r907087,l907087,,,,,340157xe" strokeweight=".09258mm">
                  <v:stroke joinstyle="miter" endcap="square"/>
                  <v:formulas/>
                  <v:path arrowok="t" o:connecttype="custom" o:connectlocs="407706,340157;815412,170079;407706,0;0,170079;407706,170079" o:connectangles="0,0,0,0,0" textboxrect="-15000,0,922087,340157"/>
                  <v:textbox inset="0,0,0,0">
                    <w:txbxContent>
                      <w:p>
                        <w:pPr>
                          <w:snapToGrid w:val="0"/>
                          <w:spacing w:line="264" w:lineRule="auto"/>
                          <w:jc w:val="center"/>
                          <w:rPr>
                            <w:sz w:val="12"/>
                          </w:rPr>
                        </w:pPr>
                        <w:r>
                          <w:rPr>
                            <w:rFonts w:ascii="Calibri" w:eastAsia="Calibri" w:hAnsi="Calibri"/>
                            <w:color w:val="000000"/>
                            <w:sz w:val="12"/>
                            <w:szCs w:val="12"/>
                          </w:rPr>
                          <w:t>2. Decide to participate in the procedure</w:t>
                        </w:r>
                      </w:p>
                    </w:txbxContent>
                  </v:textbox>
                </v:shape>
                <w10:anchorlock/>
              </v:group>
            </w:pict>
          </mc:Fallback>
        </mc:AlternateContent>
      </w:r>
      <w:r>
        <w:rPr>
          <w:rFonts w:eastAsiaTheme="minorEastAsia" w:hint="eastAsia"/>
          <w:lang w:eastAsia="zh-CN"/>
        </w:rPr>
        <w:t xml:space="preserve">         </w:t>
      </w:r>
    </w:p>
    <w:p>
      <w:pPr>
        <w:pStyle w:val="TF"/>
        <w:rPr>
          <w:lang w:eastAsia="zh-CN"/>
        </w:rPr>
      </w:pPr>
      <w:r>
        <w:rPr>
          <w:rFonts w:eastAsiaTheme="minorEastAsia" w:hint="eastAsia"/>
          <w:lang w:eastAsia="zh-CN"/>
        </w:rPr>
        <w:t>Figure-</w:t>
      </w:r>
      <w:proofErr w:type="gramStart"/>
      <w:r>
        <w:rPr>
          <w:rFonts w:eastAsiaTheme="minorEastAsia" w:hint="eastAsia"/>
          <w:lang w:eastAsia="zh-CN"/>
        </w:rPr>
        <w:t xml:space="preserve">1  </w:t>
      </w:r>
      <w:r>
        <w:t>5G</w:t>
      </w:r>
      <w:proofErr w:type="gramEnd"/>
      <w:r>
        <w:t xml:space="preserve"> </w:t>
      </w:r>
      <w:proofErr w:type="spellStart"/>
      <w:r>
        <w:t>ProSe</w:t>
      </w:r>
      <w:proofErr w:type="spellEnd"/>
      <w:r>
        <w:t xml:space="preserve"> UE-to-UE relay selection (</w:t>
      </w:r>
      <w:r>
        <w:rPr>
          <w:rFonts w:eastAsiaTheme="minorEastAsia" w:hint="eastAsia"/>
          <w:lang w:eastAsia="zh-CN"/>
        </w:rPr>
        <w:t>Solution</w:t>
      </w:r>
      <w:r>
        <w:t xml:space="preserve"> 1)</w:t>
      </w:r>
    </w:p>
    <w:p>
      <w:pPr>
        <w:pStyle w:val="a0"/>
        <w:spacing w:beforeLines="50" w:before="120"/>
        <w:rPr>
          <w:rFonts w:eastAsiaTheme="minorEastAsia"/>
          <w:lang w:eastAsia="zh-CN"/>
        </w:rPr>
      </w:pPr>
      <w:r>
        <w:rPr>
          <w:rFonts w:eastAsiaTheme="minorEastAsia" w:hint="eastAsia"/>
          <w:lang w:eastAsia="zh-CN"/>
        </w:rPr>
        <w:t>For solution 1, it can omit the discovery procedure, which can reduce the U2U relay link establishment latency. But since the DCR message is not periodically transmitted, the link may be not reliable compared with solution 2.</w:t>
      </w:r>
    </w:p>
    <w:p>
      <w:pPr>
        <w:pStyle w:val="a0"/>
        <w:spacing w:beforeLines="50" w:before="120"/>
        <w:rPr>
          <w:rFonts w:eastAsiaTheme="minorEastAsia"/>
          <w:lang w:eastAsia="zh-CN"/>
        </w:rPr>
      </w:pPr>
      <w:r>
        <w:rPr>
          <w:rFonts w:eastAsiaTheme="minorEastAsia" w:hint="eastAsia"/>
          <w:lang w:eastAsia="zh-CN"/>
        </w:rPr>
        <w:t xml:space="preserve">For solution 2, it is similar as legacy U2N </w:t>
      </w:r>
      <w:proofErr w:type="gramStart"/>
      <w:r>
        <w:rPr>
          <w:rFonts w:eastAsiaTheme="minorEastAsia" w:hint="eastAsia"/>
          <w:lang w:eastAsia="zh-CN"/>
        </w:rPr>
        <w:t>relay,</w:t>
      </w:r>
      <w:proofErr w:type="gramEnd"/>
      <w:r>
        <w:rPr>
          <w:rFonts w:eastAsiaTheme="minorEastAsia" w:hint="eastAsia"/>
          <w:lang w:eastAsia="zh-CN"/>
        </w:rPr>
        <w:t xml:space="preserve"> discovery is separated from PC5-S connection setup </w:t>
      </w:r>
      <w:r>
        <w:rPr>
          <w:rFonts w:eastAsiaTheme="minorEastAsia"/>
          <w:lang w:eastAsia="zh-CN"/>
        </w:rPr>
        <w:t>procedure</w:t>
      </w:r>
      <w:r>
        <w:rPr>
          <w:rFonts w:eastAsiaTheme="minorEastAsia" w:hint="eastAsia"/>
          <w:lang w:eastAsia="zh-CN"/>
        </w:rPr>
        <w:t>. SD-RSRP is calculated based on L3 filtering which is more reliable.</w:t>
      </w:r>
    </w:p>
    <w:p>
      <w:pPr>
        <w:pStyle w:val="a0"/>
        <w:spacing w:beforeLines="50" w:before="120"/>
        <w:rPr>
          <w:rFonts w:eastAsiaTheme="minorEastAsia"/>
        </w:rPr>
      </w:pPr>
      <w:r>
        <w:rPr>
          <w:rFonts w:eastAsiaTheme="minorEastAsia" w:hint="eastAsia"/>
          <w:lang w:eastAsia="zh-CN"/>
        </w:rPr>
        <w:t xml:space="preserve">During the last RAN2 meeting, all the discussion on U2U relay in RAN2 with assumption of solution 2. Hence, based on the SA2 status, RAN2 should first discuss whether there is any gap to support solution 1. </w:t>
      </w:r>
    </w:p>
    <w:p>
      <w:pPr>
        <w:pStyle w:val="a0"/>
        <w:rPr>
          <w:rFonts w:eastAsia="宋体"/>
          <w:lang w:val="en-GB"/>
        </w:rPr>
      </w:pPr>
      <w:r>
        <w:rPr>
          <w:rFonts w:eastAsia="宋体"/>
          <w:b/>
          <w:lang w:val="en-GB" w:eastAsia="zh-CN"/>
        </w:rPr>
        <w:t xml:space="preserve">Proposal </w:t>
      </w:r>
      <w:r>
        <w:rPr>
          <w:rFonts w:eastAsia="宋体" w:hint="eastAsia"/>
          <w:b/>
          <w:lang w:val="en-GB" w:eastAsia="zh-CN"/>
        </w:rPr>
        <w:t>1</w:t>
      </w:r>
      <w:r>
        <w:rPr>
          <w:rFonts w:eastAsia="宋体"/>
          <w:b/>
          <w:lang w:val="en-GB" w:eastAsia="zh-CN"/>
        </w:rPr>
        <w:t xml:space="preserve">: </w:t>
      </w:r>
      <w:r>
        <w:rPr>
          <w:rFonts w:eastAsia="宋体" w:hint="eastAsia"/>
          <w:b/>
          <w:lang w:val="en-GB" w:eastAsia="zh-CN"/>
        </w:rPr>
        <w:t xml:space="preserve">RAN2 to </w:t>
      </w:r>
      <w:r>
        <w:rPr>
          <w:rFonts w:eastAsia="宋体"/>
          <w:b/>
          <w:lang w:val="en-GB" w:eastAsia="zh-CN"/>
        </w:rPr>
        <w:t>discuss</w:t>
      </w:r>
      <w:r>
        <w:rPr>
          <w:rFonts w:eastAsia="宋体" w:hint="eastAsia"/>
          <w:b/>
          <w:lang w:val="en-GB" w:eastAsia="zh-CN"/>
        </w:rPr>
        <w:t xml:space="preserve"> whether there is any additional RAN2 impacts in order to support integrated U2U relay discovery procedure.</w:t>
      </w:r>
    </w:p>
    <w:p>
      <w:pPr>
        <w:pStyle w:val="20"/>
        <w:ind w:left="568" w:hangingChars="283" w:hanging="568"/>
        <w:rPr>
          <w:rFonts w:eastAsiaTheme="minorEastAsia"/>
        </w:rPr>
      </w:pPr>
      <w:r>
        <w:rPr>
          <w:rFonts w:eastAsiaTheme="minorEastAsia" w:hint="eastAsia"/>
        </w:rPr>
        <w:t>Details of U2U relay discovery</w:t>
      </w:r>
    </w:p>
    <w:p>
      <w:pPr>
        <w:pStyle w:val="a0"/>
        <w:rPr>
          <w:rFonts w:eastAsiaTheme="minorEastAsia"/>
        </w:rPr>
      </w:pPr>
      <w:r>
        <w:rPr>
          <w:rFonts w:eastAsiaTheme="minorEastAsia" w:hint="eastAsia"/>
          <w:lang w:eastAsia="zh-CN"/>
        </w:rPr>
        <w:t xml:space="preserve">In this section, we assume separate discovery procedure is used, </w:t>
      </w:r>
      <w:proofErr w:type="gramStart"/>
      <w:r>
        <w:rPr>
          <w:rFonts w:eastAsiaTheme="minorEastAsia" w:hint="eastAsia"/>
          <w:lang w:eastAsia="zh-CN"/>
        </w:rPr>
        <w:t>then</w:t>
      </w:r>
      <w:proofErr w:type="gramEnd"/>
      <w:r>
        <w:rPr>
          <w:rFonts w:eastAsiaTheme="minorEastAsia" w:hint="eastAsia"/>
          <w:lang w:eastAsia="zh-CN"/>
        </w:rPr>
        <w:t xml:space="preserve"> analyze the leftover issues based on the agreements reached in the last RAN2 meeting.</w:t>
      </w:r>
    </w:p>
    <w:p>
      <w:pPr>
        <w:pStyle w:val="3"/>
        <w:ind w:left="851" w:hanging="851"/>
        <w:rPr>
          <w:rFonts w:ascii="Times New Roman" w:hAnsi="Times New Roman" w:cs="Times New Roman"/>
          <w:szCs w:val="20"/>
        </w:rPr>
      </w:pPr>
      <w:r>
        <w:rPr>
          <w:rFonts w:ascii="Times New Roman" w:eastAsiaTheme="minorEastAsia" w:hAnsi="Times New Roman" w:cs="Times New Roman" w:hint="eastAsia"/>
          <w:sz w:val="20"/>
          <w:szCs w:val="20"/>
          <w:lang w:eastAsia="zh-CN"/>
        </w:rPr>
        <w:t xml:space="preserve">2.2.1 </w:t>
      </w:r>
      <w:r>
        <w:rPr>
          <w:rFonts w:ascii="Times New Roman" w:hAnsi="Times New Roman" w:cs="Times New Roman"/>
          <w:sz w:val="20"/>
          <w:szCs w:val="20"/>
        </w:rPr>
        <w:t xml:space="preserve">Conditions for </w:t>
      </w:r>
      <w:r>
        <w:rPr>
          <w:rFonts w:ascii="Times New Roman" w:eastAsiaTheme="minorEastAsia" w:hAnsi="Times New Roman" w:cs="Times New Roman" w:hint="eastAsia"/>
          <w:sz w:val="20"/>
          <w:szCs w:val="20"/>
          <w:lang w:eastAsia="zh-CN"/>
        </w:rPr>
        <w:t xml:space="preserve">U2U </w:t>
      </w:r>
      <w:r>
        <w:rPr>
          <w:rFonts w:ascii="Times New Roman" w:hAnsi="Times New Roman" w:cs="Times New Roman"/>
          <w:sz w:val="20"/>
          <w:szCs w:val="20"/>
        </w:rPr>
        <w:t>relay discovery</w:t>
      </w:r>
      <w:r>
        <w:rPr>
          <w:rFonts w:ascii="Times New Roman" w:eastAsiaTheme="minorEastAsia" w:hAnsi="Times New Roman" w:cs="Times New Roman" w:hint="eastAsia"/>
          <w:sz w:val="20"/>
          <w:szCs w:val="20"/>
          <w:lang w:eastAsia="zh-CN"/>
        </w:rPr>
        <w:t xml:space="preserve"> message transmission</w:t>
      </w:r>
    </w:p>
    <w:p>
      <w:pPr>
        <w:pStyle w:val="a0"/>
        <w:rPr>
          <w:rFonts w:eastAsiaTheme="minorEastAsia"/>
          <w:lang w:eastAsia="zh-CN"/>
        </w:rPr>
      </w:pPr>
      <w:r>
        <w:rPr>
          <w:rFonts w:eastAsiaTheme="minorEastAsia"/>
          <w:lang w:eastAsia="zh-CN"/>
        </w:rPr>
        <w:t>I</w:t>
      </w:r>
      <w:r>
        <w:rPr>
          <w:rFonts w:eastAsiaTheme="minorEastAsia" w:hint="eastAsia"/>
          <w:lang w:eastAsia="zh-CN"/>
        </w:rPr>
        <w:t xml:space="preserve">n RAN2#119bis-e meeting, RAN2 reached the agreement that as least upper layer indication is one condition for discovery message transmission at the Remote UE. </w:t>
      </w:r>
      <w:r>
        <w:rPr>
          <w:rFonts w:eastAsiaTheme="minorEastAsia"/>
          <w:lang w:eastAsia="zh-CN"/>
        </w:rPr>
        <w:t>W</w:t>
      </w:r>
      <w:r>
        <w:rPr>
          <w:rFonts w:eastAsiaTheme="minorEastAsia" w:hint="eastAsia"/>
          <w:lang w:eastAsia="zh-CN"/>
        </w:rPr>
        <w:t xml:space="preserve">hether to introduce AS condition need to be further discussed. In this section, this issue will be </w:t>
      </w:r>
      <w:r>
        <w:rPr>
          <w:rFonts w:eastAsiaTheme="minorEastAsia"/>
          <w:lang w:eastAsia="zh-CN"/>
        </w:rPr>
        <w:t>discuss</w:t>
      </w:r>
      <w:r>
        <w:rPr>
          <w:rFonts w:eastAsiaTheme="minorEastAsia" w:hint="eastAsia"/>
          <w:lang w:eastAsia="zh-CN"/>
        </w:rPr>
        <w:t xml:space="preserve">ed </w:t>
      </w:r>
      <w:r>
        <w:rPr>
          <w:rFonts w:eastAsiaTheme="minorEastAsia"/>
          <w:lang w:eastAsia="zh-CN"/>
        </w:rPr>
        <w:t>separately</w:t>
      </w:r>
      <w:r>
        <w:rPr>
          <w:rFonts w:eastAsiaTheme="minorEastAsia" w:hint="eastAsia"/>
          <w:lang w:eastAsia="zh-CN"/>
        </w:rPr>
        <w:t xml:space="preserve"> </w:t>
      </w:r>
      <w:r>
        <w:rPr>
          <w:rFonts w:eastAsiaTheme="minorEastAsia"/>
          <w:lang w:eastAsia="zh-CN"/>
        </w:rPr>
        <w:t>for Remote</w:t>
      </w:r>
      <w:r>
        <w:rPr>
          <w:rFonts w:eastAsiaTheme="minorEastAsia" w:hint="eastAsia"/>
          <w:lang w:eastAsia="zh-CN"/>
        </w:rPr>
        <w:t xml:space="preserve"> UE and Relay UE:</w:t>
      </w:r>
    </w:p>
    <w:p>
      <w:pPr>
        <w:pStyle w:val="a0"/>
        <w:spacing w:beforeLines="50" w:before="120"/>
        <w:rPr>
          <w:rFonts w:eastAsiaTheme="minorEastAsia"/>
          <w:b/>
          <w:u w:val="single"/>
          <w:lang w:eastAsia="zh-CN"/>
        </w:rPr>
      </w:pPr>
      <w:r>
        <w:rPr>
          <w:rFonts w:eastAsiaTheme="minorEastAsia" w:hint="eastAsia"/>
          <w:b/>
          <w:u w:val="single"/>
          <w:lang w:eastAsia="zh-CN"/>
        </w:rPr>
        <w:t>Remote UE:</w:t>
      </w:r>
    </w:p>
    <w:p>
      <w:pPr>
        <w:pStyle w:val="a0"/>
        <w:rPr>
          <w:rFonts w:eastAsiaTheme="minorEastAsia"/>
          <w:lang w:eastAsia="zh-CN"/>
        </w:rPr>
      </w:pPr>
      <w:r>
        <w:rPr>
          <w:rFonts w:eastAsiaTheme="minorEastAsia" w:hint="eastAsia"/>
          <w:lang w:eastAsia="zh-CN"/>
        </w:rPr>
        <w:t>Regarding to the U2U relay discovery, one key issue is when to trigger the U2U relay discovery message transmission for Remote UE. We first look back to R17 U2N relay, a</w:t>
      </w:r>
      <w:r>
        <w:rPr>
          <w:rFonts w:eastAsiaTheme="minorEastAsia"/>
          <w:lang w:eastAsia="zh-CN"/>
        </w:rPr>
        <w:t xml:space="preserve">s captured in TS 38.300, </w:t>
      </w:r>
      <w:r>
        <w:rPr>
          <w:rFonts w:eastAsiaTheme="minorEastAsia" w:hint="eastAsia"/>
          <w:lang w:eastAsia="zh-CN"/>
        </w:rPr>
        <w:lastRenderedPageBreak/>
        <w:t xml:space="preserve">the Remote UE </w:t>
      </w:r>
      <w:r>
        <w:rPr>
          <w:rFonts w:eastAsiaTheme="minorEastAsia"/>
          <w:lang w:eastAsia="zh-CN"/>
        </w:rPr>
        <w:t>evaluate</w:t>
      </w:r>
      <w:r>
        <w:rPr>
          <w:rFonts w:eastAsiaTheme="minorEastAsia" w:hint="eastAsia"/>
          <w:lang w:eastAsia="zh-CN"/>
        </w:rPr>
        <w:t xml:space="preserve"> Uu </w:t>
      </w:r>
      <w:r>
        <w:rPr>
          <w:rFonts w:eastAsiaTheme="minorEastAsia"/>
          <w:lang w:eastAsia="zh-CN"/>
        </w:rPr>
        <w:t>quality</w:t>
      </w:r>
      <w:r>
        <w:rPr>
          <w:rFonts w:eastAsiaTheme="minorEastAsia" w:hint="eastAsia"/>
          <w:lang w:eastAsia="zh-CN"/>
        </w:rPr>
        <w:t xml:space="preserve"> to decide whether it can transmit the relay discovery message. </w:t>
      </w:r>
      <w:r>
        <w:rPr>
          <w:rFonts w:eastAsiaTheme="minorEastAsia"/>
          <w:lang w:eastAsia="zh-CN"/>
        </w:rPr>
        <w:t>T</w:t>
      </w:r>
      <w:r>
        <w:rPr>
          <w:rFonts w:eastAsiaTheme="minorEastAsia" w:hint="eastAsia"/>
          <w:lang w:eastAsia="zh-CN"/>
        </w:rPr>
        <w:t xml:space="preserve">his can avoid </w:t>
      </w:r>
      <w:r>
        <w:rPr>
          <w:rFonts w:eastAsiaTheme="minorEastAsia"/>
          <w:lang w:eastAsia="zh-CN"/>
        </w:rPr>
        <w:t>unnecessary</w:t>
      </w:r>
      <w:r>
        <w:rPr>
          <w:rFonts w:eastAsiaTheme="minorEastAsia" w:hint="eastAsia"/>
          <w:lang w:eastAsia="zh-CN"/>
        </w:rPr>
        <w:t xml:space="preserve"> transmission for discovery message.</w:t>
      </w:r>
    </w:p>
    <w:tbl>
      <w:tblPr>
        <w:tblStyle w:val="a7"/>
        <w:tblW w:w="0" w:type="auto"/>
        <w:tblLook w:val="04A0" w:firstRow="1" w:lastRow="0" w:firstColumn="1" w:lastColumn="0" w:noHBand="0" w:noVBand="1"/>
      </w:tblPr>
      <w:tblGrid>
        <w:gridCol w:w="8522"/>
      </w:tblGrid>
      <w:tr>
        <w:tc>
          <w:tcPr>
            <w:tcW w:w="8522" w:type="dxa"/>
          </w:tcPr>
          <w:p>
            <w:pPr>
              <w:pStyle w:val="3"/>
              <w:rPr>
                <w:rFonts w:eastAsia="宋体"/>
              </w:rPr>
            </w:pPr>
            <w:bookmarkStart w:id="6" w:name="_Toc115390193"/>
            <w:r>
              <w:rPr>
                <w:rFonts w:eastAsia="宋体"/>
              </w:rPr>
              <w:t>16.12.3</w:t>
            </w:r>
            <w:r>
              <w:rPr>
                <w:rFonts w:eastAsia="宋体"/>
              </w:rPr>
              <w:tab/>
              <w:t>Relay Discovery</w:t>
            </w:r>
            <w:bookmarkEnd w:id="6"/>
          </w:p>
          <w:p>
            <w:pPr>
              <w:jc w:val="both"/>
              <w:rPr>
                <w:rFonts w:eastAsiaTheme="minorEastAsia"/>
                <w:lang w:eastAsia="zh-CN"/>
              </w:rPr>
            </w:pPr>
            <w:r>
              <w:rPr>
                <w:rFonts w:eastAsiaTheme="minorEastAsia"/>
                <w:lang w:eastAsia="zh-CN"/>
              </w:rPr>
              <w:t>……</w:t>
            </w:r>
          </w:p>
          <w:p>
            <w:pPr>
              <w:jc w:val="both"/>
              <w:rPr>
                <w:rFonts w:eastAsiaTheme="minorEastAsia"/>
                <w:lang w:eastAsia="zh-CN"/>
              </w:rPr>
            </w:pPr>
            <w:r>
              <w:t xml:space="preserve">The network may broadcast or configure via dedicated RRC </w:t>
            </w:r>
            <w:proofErr w:type="spellStart"/>
            <w:r>
              <w:t>signalling</w:t>
            </w:r>
            <w:proofErr w:type="spellEnd"/>
            <w:r>
              <w:t xml:space="preserve"> a </w:t>
            </w:r>
            <w:proofErr w:type="spellStart"/>
            <w:r>
              <w:t>Uu</w:t>
            </w:r>
            <w:proofErr w:type="spellEnd"/>
            <w:r>
              <w:t xml:space="preserve"> RSRP threshold, which is used by the U2N Remote UE to determine if it can transmit Relay discovery messages to U2N Relay UE(s).</w:t>
            </w:r>
          </w:p>
        </w:tc>
      </w:tr>
    </w:tbl>
    <w:p>
      <w:pPr>
        <w:pStyle w:val="a0"/>
        <w:spacing w:beforeLines="50" w:before="120"/>
        <w:rPr>
          <w:rFonts w:eastAsiaTheme="minorEastAsia"/>
          <w:b/>
          <w:lang w:eastAsia="zh-CN"/>
        </w:rPr>
      </w:pPr>
      <w:r>
        <w:rPr>
          <w:rFonts w:eastAsiaTheme="minorEastAsia" w:hint="eastAsia"/>
          <w:lang w:eastAsia="zh-CN"/>
        </w:rPr>
        <w:t>For U2U relay, in order to a</w:t>
      </w:r>
      <w:r>
        <w:rPr>
          <w:rFonts w:eastAsiaTheme="minorEastAsia"/>
          <w:lang w:eastAsia="zh-CN"/>
        </w:rPr>
        <w:t xml:space="preserve">void unnecessary </w:t>
      </w:r>
      <w:r>
        <w:rPr>
          <w:rFonts w:eastAsiaTheme="minorEastAsia" w:hint="eastAsia"/>
          <w:lang w:eastAsia="zh-CN"/>
        </w:rPr>
        <w:t>relay discovery message transmission at Remote UE, s</w:t>
      </w:r>
      <w:r>
        <w:rPr>
          <w:rFonts w:eastAsiaTheme="minorEastAsia"/>
          <w:lang w:eastAsia="zh-CN"/>
        </w:rPr>
        <w:t>imilar mechanism</w:t>
      </w:r>
      <w:r>
        <w:rPr>
          <w:rFonts w:eastAsiaTheme="minorEastAsia" w:hint="eastAsia"/>
          <w:lang w:eastAsia="zh-CN"/>
        </w:rPr>
        <w:t xml:space="preserve"> as U2N relay can be reused. </w:t>
      </w:r>
      <w:r>
        <w:rPr>
          <w:rFonts w:eastAsiaTheme="minorEastAsia"/>
          <w:lang w:eastAsia="zh-CN"/>
        </w:rPr>
        <w:t>If the</w:t>
      </w:r>
      <w:r>
        <w:rPr>
          <w:rFonts w:eastAsiaTheme="minorEastAsia" w:hint="eastAsia"/>
          <w:lang w:eastAsia="zh-CN"/>
        </w:rPr>
        <w:t xml:space="preserve"> U2U</w:t>
      </w:r>
      <w:r>
        <w:rPr>
          <w:rFonts w:eastAsiaTheme="minorEastAsia"/>
          <w:lang w:eastAsia="zh-CN"/>
        </w:rPr>
        <w:t xml:space="preserve"> Remote UE does not support dual </w:t>
      </w:r>
      <w:r>
        <w:rPr>
          <w:rFonts w:eastAsiaTheme="minorEastAsia" w:hint="eastAsia"/>
          <w:lang w:eastAsia="zh-CN"/>
        </w:rPr>
        <w:t xml:space="preserve">PC5 connectivity (e.g., both direct PC5 link and indirect PC5 link via U2U relay), Remote UE can transmit discovery message only when </w:t>
      </w:r>
      <w:r>
        <w:rPr>
          <w:rFonts w:eastAsiaTheme="minorEastAsia"/>
          <w:lang w:eastAsia="zh-CN"/>
        </w:rPr>
        <w:t>the SL-RSRP/SD-RSRP of the current direct PC5 link between a pair of connected Remote UEs is below a threshold</w:t>
      </w:r>
      <w:r>
        <w:rPr>
          <w:rFonts w:eastAsiaTheme="minorEastAsia" w:hint="eastAsia"/>
          <w:lang w:eastAsia="zh-CN"/>
        </w:rPr>
        <w:t>.</w:t>
      </w:r>
    </w:p>
    <w:p>
      <w:pPr>
        <w:pStyle w:val="a0"/>
        <w:spacing w:beforeLines="50" w:before="120"/>
        <w:rPr>
          <w:rFonts w:eastAsia="宋体"/>
          <w:b/>
          <w:lang w:val="en-GB" w:eastAsia="zh-CN"/>
        </w:rPr>
      </w:pPr>
      <w:r>
        <w:rPr>
          <w:rFonts w:eastAsia="宋体"/>
          <w:b/>
          <w:lang w:val="en-GB" w:eastAsia="zh-CN"/>
        </w:rPr>
        <w:t xml:space="preserve">Proposal </w:t>
      </w:r>
      <w:r>
        <w:rPr>
          <w:rFonts w:eastAsia="宋体" w:hint="eastAsia"/>
          <w:b/>
          <w:lang w:val="en-GB" w:eastAsia="zh-CN"/>
        </w:rPr>
        <w:t>2</w:t>
      </w:r>
      <w:r>
        <w:rPr>
          <w:rFonts w:eastAsia="宋体"/>
          <w:b/>
          <w:lang w:val="en-GB" w:eastAsia="zh-CN"/>
        </w:rPr>
        <w:t xml:space="preserve">: </w:t>
      </w:r>
      <w:r>
        <w:rPr>
          <w:rFonts w:eastAsia="宋体" w:hint="eastAsia"/>
          <w:b/>
          <w:szCs w:val="20"/>
          <w:lang w:val="en-GB" w:eastAsia="zh-CN"/>
        </w:rPr>
        <w:t xml:space="preserve">Remote UE can trigger U2U Relay discovery message transmission when </w:t>
      </w:r>
      <w:r>
        <w:rPr>
          <w:rFonts w:eastAsia="宋体"/>
          <w:b/>
          <w:lang w:val="en-GB" w:eastAsia="zh-CN"/>
        </w:rPr>
        <w:t>SL-RSRP/SD-RSRP of the current direct PC5 link between a pair of connected Remote UEs is below a threshold.</w:t>
      </w:r>
    </w:p>
    <w:p>
      <w:pPr>
        <w:pStyle w:val="a0"/>
        <w:spacing w:beforeLines="100" w:before="240"/>
        <w:rPr>
          <w:rFonts w:eastAsiaTheme="minorEastAsia"/>
          <w:b/>
          <w:u w:val="single"/>
          <w:lang w:eastAsia="zh-CN"/>
        </w:rPr>
      </w:pPr>
      <w:r>
        <w:rPr>
          <w:rFonts w:eastAsiaTheme="minorEastAsia" w:hint="eastAsia"/>
          <w:b/>
          <w:u w:val="single"/>
          <w:lang w:eastAsia="zh-CN"/>
        </w:rPr>
        <w:t>Relay UE:</w:t>
      </w:r>
    </w:p>
    <w:p>
      <w:pPr>
        <w:pStyle w:val="a0"/>
        <w:rPr>
          <w:rFonts w:eastAsiaTheme="minorEastAsia"/>
          <w:lang w:eastAsia="zh-CN"/>
        </w:rPr>
      </w:pPr>
      <w:r>
        <w:rPr>
          <w:rFonts w:eastAsiaTheme="minorEastAsia" w:hint="eastAsia"/>
          <w:lang w:eastAsia="zh-CN"/>
        </w:rPr>
        <w:t>Another issue is that whether there is AS condition for U2U Relay UE to forward the U2U relay discovery message? For this issue, in order to ensure the U2U relay can provide reliable services for Remote UEs, the PC5 link quality should be considered. There are two methods to consider the PC5 link quality, listed below:</w:t>
      </w:r>
    </w:p>
    <w:p>
      <w:pPr>
        <w:pStyle w:val="a0"/>
        <w:numPr>
          <w:ilvl w:val="0"/>
          <w:numId w:val="11"/>
        </w:numPr>
        <w:rPr>
          <w:rFonts w:eastAsiaTheme="minorEastAsia"/>
          <w:lang w:eastAsia="zh-CN"/>
        </w:rPr>
      </w:pPr>
      <w:r>
        <w:rPr>
          <w:rFonts w:eastAsiaTheme="minorEastAsia" w:hint="eastAsia"/>
          <w:lang w:eastAsia="zh-CN"/>
        </w:rPr>
        <w:t xml:space="preserve">Option 1: Only when the SD-RSRP between Remote UE and Relay UE is above the RSRP threshold, the Relay UE can </w:t>
      </w:r>
      <w:r>
        <w:rPr>
          <w:rFonts w:eastAsiaTheme="minorEastAsia"/>
          <w:lang w:eastAsia="zh-CN"/>
        </w:rPr>
        <w:t>forward</w:t>
      </w:r>
      <w:r>
        <w:rPr>
          <w:rFonts w:eastAsiaTheme="minorEastAsia" w:hint="eastAsia"/>
          <w:lang w:eastAsia="zh-CN"/>
        </w:rPr>
        <w:t xml:space="preserve"> the U2U relay discovery message or response to the source Remote UE.</w:t>
      </w:r>
    </w:p>
    <w:p>
      <w:pPr>
        <w:pStyle w:val="a0"/>
        <w:numPr>
          <w:ilvl w:val="0"/>
          <w:numId w:val="11"/>
        </w:numPr>
        <w:rPr>
          <w:rFonts w:eastAsiaTheme="minorEastAsia"/>
          <w:lang w:eastAsia="zh-CN"/>
        </w:rPr>
      </w:pPr>
      <w:r>
        <w:rPr>
          <w:rFonts w:eastAsiaTheme="minorEastAsia" w:hint="eastAsia"/>
          <w:lang w:eastAsia="zh-CN"/>
        </w:rPr>
        <w:t>Option 2: Include the SD-RSRP of first hop in the discovery message forwarded by U2U relay.</w:t>
      </w:r>
    </w:p>
    <w:p>
      <w:pPr>
        <w:pStyle w:val="a0"/>
        <w:rPr>
          <w:rFonts w:eastAsiaTheme="minorEastAsia"/>
          <w:lang w:eastAsia="zh-CN"/>
        </w:rPr>
      </w:pPr>
      <w:r>
        <w:rPr>
          <w:rFonts w:eastAsiaTheme="minorEastAsia" w:hint="eastAsia"/>
          <w:lang w:eastAsia="zh-CN"/>
        </w:rPr>
        <w:t>Option 2 will impact the upper layer discovery message design. Hence, Option 1 is slightly preferred.</w:t>
      </w:r>
    </w:p>
    <w:p>
      <w:pPr>
        <w:pStyle w:val="a0"/>
        <w:spacing w:beforeLines="50" w:before="120"/>
        <w:rPr>
          <w:rFonts w:eastAsia="宋体"/>
          <w:b/>
          <w:szCs w:val="20"/>
          <w:lang w:val="en-GB" w:eastAsia="zh-CN"/>
        </w:rPr>
      </w:pPr>
      <w:r>
        <w:rPr>
          <w:rFonts w:eastAsia="宋体"/>
          <w:b/>
          <w:szCs w:val="20"/>
          <w:lang w:val="en-GB" w:eastAsia="zh-CN"/>
        </w:rPr>
        <w:t>Proposal 3: Only when the PC5 link between the source Remote UE and the candidate Relay UE is above an SD-RSRP threshold, the Relay UE can forward the U2U relay discovery message or send response to the source Remote UE.</w:t>
      </w:r>
    </w:p>
    <w:p>
      <w:pPr>
        <w:pStyle w:val="3"/>
        <w:ind w:left="851" w:hanging="851"/>
        <w:rPr>
          <w:rFonts w:ascii="Times New Roman" w:hAnsi="Times New Roman" w:cs="Times New Roman"/>
          <w:szCs w:val="20"/>
        </w:rPr>
      </w:pPr>
      <w:r>
        <w:rPr>
          <w:rFonts w:ascii="Times New Roman" w:eastAsiaTheme="minorEastAsia" w:hAnsi="Times New Roman" w:cs="Times New Roman" w:hint="eastAsia"/>
          <w:sz w:val="20"/>
          <w:szCs w:val="20"/>
          <w:lang w:eastAsia="zh-CN"/>
        </w:rPr>
        <w:t xml:space="preserve">2.2.2 </w:t>
      </w:r>
      <w:r>
        <w:rPr>
          <w:rFonts w:ascii="Times New Roman" w:hAnsi="Times New Roman" w:cs="Times New Roman"/>
          <w:sz w:val="20"/>
          <w:szCs w:val="20"/>
        </w:rPr>
        <w:t xml:space="preserve">Resource allocation for </w:t>
      </w:r>
      <w:r>
        <w:rPr>
          <w:rFonts w:ascii="Times New Roman" w:eastAsiaTheme="minorEastAsia" w:hAnsi="Times New Roman" w:cs="Times New Roman" w:hint="eastAsia"/>
          <w:sz w:val="20"/>
          <w:szCs w:val="20"/>
          <w:lang w:eastAsia="zh-CN"/>
        </w:rPr>
        <w:t xml:space="preserve">U2U relay </w:t>
      </w:r>
      <w:r>
        <w:rPr>
          <w:rFonts w:ascii="Times New Roman" w:hAnsi="Times New Roman" w:cs="Times New Roman"/>
          <w:sz w:val="20"/>
          <w:szCs w:val="20"/>
        </w:rPr>
        <w:t>discovery</w:t>
      </w:r>
    </w:p>
    <w:p>
      <w:pPr>
        <w:pStyle w:val="a0"/>
        <w:rPr>
          <w:rFonts w:eastAsiaTheme="minorEastAsia"/>
          <w:lang w:eastAsia="zh-CN"/>
        </w:rPr>
      </w:pPr>
      <w:r>
        <w:rPr>
          <w:rFonts w:eastAsiaTheme="minorEastAsia" w:hint="eastAsia"/>
          <w:lang w:eastAsia="zh-CN"/>
        </w:rPr>
        <w:t xml:space="preserve">With the introduction of U2U relay discovery, one key issue need to be discussed is how to perform resource allocation for U2U relay discovery message. In our understanding, how to perform the resource allocation for U2U relay totally depends </w:t>
      </w:r>
      <w:r>
        <w:rPr>
          <w:rFonts w:eastAsiaTheme="minorEastAsia"/>
          <w:lang w:eastAsia="zh-CN"/>
        </w:rPr>
        <w:t>on the</w:t>
      </w:r>
      <w:r>
        <w:rPr>
          <w:rFonts w:eastAsiaTheme="minorEastAsia" w:hint="eastAsia"/>
          <w:lang w:eastAsia="zh-CN"/>
        </w:rPr>
        <w:t xml:space="preserve"> relay/Remote UE RRC states which is same as </w:t>
      </w:r>
      <w:r>
        <w:rPr>
          <w:rFonts w:eastAsiaTheme="minorEastAsia"/>
          <w:lang w:eastAsia="zh-CN"/>
        </w:rPr>
        <w:t>the</w:t>
      </w:r>
      <w:r>
        <w:rPr>
          <w:rFonts w:eastAsiaTheme="minorEastAsia" w:hint="eastAsia"/>
          <w:lang w:eastAsia="zh-CN"/>
        </w:rPr>
        <w:t xml:space="preserve"> Rel-16.</w:t>
      </w:r>
    </w:p>
    <w:p>
      <w:pPr>
        <w:pStyle w:val="a0"/>
        <w:rPr>
          <w:rFonts w:eastAsia="宋体"/>
          <w:b/>
          <w:szCs w:val="20"/>
          <w:lang w:val="en-GB" w:eastAsia="zh-CN"/>
        </w:rPr>
      </w:pPr>
      <w:r>
        <w:rPr>
          <w:rFonts w:eastAsia="宋体"/>
          <w:b/>
          <w:szCs w:val="20"/>
          <w:lang w:val="en-GB" w:eastAsia="zh-CN"/>
        </w:rPr>
        <w:t xml:space="preserve">Proposal </w:t>
      </w:r>
      <w:r>
        <w:rPr>
          <w:rFonts w:eastAsia="宋体" w:hint="eastAsia"/>
          <w:b/>
          <w:szCs w:val="20"/>
          <w:lang w:val="en-GB" w:eastAsia="zh-CN"/>
        </w:rPr>
        <w:t>4</w:t>
      </w:r>
      <w:r>
        <w:rPr>
          <w:rFonts w:eastAsia="宋体"/>
          <w:b/>
          <w:szCs w:val="20"/>
          <w:lang w:val="en-GB" w:eastAsia="zh-CN"/>
        </w:rPr>
        <w:t>: The resource allocation mode determination for U2U relay and Remote UE should follow the Rel-16 principle.</w:t>
      </w:r>
    </w:p>
    <w:p>
      <w:pPr>
        <w:pStyle w:val="a0"/>
        <w:rPr>
          <w:rFonts w:eastAsiaTheme="minorEastAsia"/>
          <w:lang w:eastAsia="zh-CN"/>
        </w:rPr>
      </w:pPr>
      <w:r>
        <w:rPr>
          <w:rFonts w:eastAsiaTheme="minorEastAsia"/>
          <w:lang w:eastAsia="zh-CN"/>
        </w:rPr>
        <w:t>If mode 1 is used, UE should report BSR to network. In U2N</w:t>
      </w:r>
      <w:r>
        <w:rPr>
          <w:rFonts w:eastAsiaTheme="minorEastAsia" w:hint="eastAsia"/>
          <w:lang w:eastAsia="zh-CN"/>
        </w:rPr>
        <w:t xml:space="preserve"> relay</w:t>
      </w:r>
      <w:r>
        <w:rPr>
          <w:rFonts w:eastAsiaTheme="minorEastAsia"/>
          <w:lang w:eastAsia="zh-CN"/>
        </w:rPr>
        <w:t>, L2 ID for discovery is dedicated and UE should indicate whether a L2 ID is aiming for discovery to gNB. But for U2U relay, it is unclear whether the L2 ID for U2U relay discovery is dedicated or not.</w:t>
      </w:r>
      <w:r>
        <w:rPr>
          <w:rFonts w:eastAsiaTheme="minorEastAsia" w:hint="eastAsia"/>
          <w:lang w:eastAsia="zh-CN"/>
        </w:rPr>
        <w:t xml:space="preserve"> Considering AS layer processing needs to identify U2U relay and U2N relay, e.g., to determine the AS condition for transmit the U2U relay discovery message, it had better make this question clear.</w:t>
      </w:r>
    </w:p>
    <w:p>
      <w:pPr>
        <w:pStyle w:val="a0"/>
        <w:rPr>
          <w:rFonts w:eastAsiaTheme="minorEastAsia"/>
          <w:b/>
          <w:lang w:eastAsia="zh-CN"/>
        </w:rPr>
      </w:pPr>
      <w:r>
        <w:rPr>
          <w:rFonts w:eastAsia="宋体"/>
          <w:b/>
          <w:szCs w:val="20"/>
          <w:lang w:val="en-GB" w:eastAsia="zh-CN"/>
        </w:rPr>
        <w:t xml:space="preserve">Proposal </w:t>
      </w:r>
      <w:r>
        <w:rPr>
          <w:rFonts w:eastAsia="宋体" w:hint="eastAsia"/>
          <w:b/>
          <w:szCs w:val="20"/>
          <w:lang w:val="en-GB" w:eastAsia="zh-CN"/>
        </w:rPr>
        <w:t>5</w:t>
      </w:r>
      <w:r>
        <w:rPr>
          <w:rFonts w:eastAsia="宋体"/>
          <w:b/>
          <w:szCs w:val="20"/>
          <w:lang w:val="en-GB" w:eastAsia="zh-CN"/>
        </w:rPr>
        <w:t>: Send LS to SA2 to check whether the L2 ID for U2U relay discovery is dedicated or not.</w:t>
      </w:r>
    </w:p>
    <w:p>
      <w:pPr>
        <w:pStyle w:val="3"/>
        <w:ind w:left="851" w:hanging="851"/>
        <w:rPr>
          <w:rFonts w:ascii="Times New Roman" w:hAnsi="Times New Roman" w:cs="Times New Roman"/>
          <w:szCs w:val="20"/>
        </w:rPr>
      </w:pPr>
      <w:r>
        <w:rPr>
          <w:rFonts w:ascii="Times New Roman" w:eastAsiaTheme="minorEastAsia" w:hAnsi="Times New Roman" w:cs="Times New Roman" w:hint="eastAsia"/>
          <w:sz w:val="20"/>
          <w:szCs w:val="20"/>
          <w:lang w:eastAsia="zh-CN"/>
        </w:rPr>
        <w:t xml:space="preserve">2.2.3 </w:t>
      </w:r>
      <w:r>
        <w:rPr>
          <w:rFonts w:ascii="Times New Roman" w:hAnsi="Times New Roman" w:cs="Times New Roman"/>
          <w:sz w:val="20"/>
          <w:szCs w:val="20"/>
        </w:rPr>
        <w:t>Detail</w:t>
      </w:r>
      <w:r>
        <w:rPr>
          <w:rFonts w:ascii="Times New Roman" w:eastAsiaTheme="minorEastAsia" w:hAnsi="Times New Roman" w:cs="Times New Roman" w:hint="eastAsia"/>
          <w:sz w:val="20"/>
          <w:szCs w:val="20"/>
          <w:lang w:eastAsia="zh-CN"/>
        </w:rPr>
        <w:t>ed</w:t>
      </w:r>
      <w:r>
        <w:rPr>
          <w:rFonts w:ascii="Times New Roman" w:hAnsi="Times New Roman" w:cs="Times New Roman"/>
          <w:sz w:val="20"/>
          <w:szCs w:val="20"/>
        </w:rPr>
        <w:t xml:space="preserve"> AS triggers for relay (re)</w:t>
      </w:r>
      <w:r>
        <w:rPr>
          <w:rFonts w:ascii="Times New Roman" w:eastAsiaTheme="minorEastAsia" w:hAnsi="Times New Roman" w:cs="Times New Roman" w:hint="eastAsia"/>
          <w:sz w:val="20"/>
          <w:szCs w:val="20"/>
          <w:lang w:eastAsia="zh-CN"/>
        </w:rPr>
        <w:t>s</w:t>
      </w:r>
      <w:r>
        <w:rPr>
          <w:rFonts w:ascii="Times New Roman" w:hAnsi="Times New Roman" w:cs="Times New Roman"/>
          <w:sz w:val="20"/>
          <w:szCs w:val="20"/>
        </w:rPr>
        <w:t>election</w:t>
      </w:r>
    </w:p>
    <w:p>
      <w:pPr>
        <w:pStyle w:val="a0"/>
        <w:rPr>
          <w:rFonts w:ascii="Arial" w:hAnsi="Arial" w:cs="Arial"/>
          <w:i/>
          <w:lang w:eastAsia="zh-CN"/>
        </w:rPr>
      </w:pPr>
      <w:r>
        <w:t>I</w:t>
      </w:r>
      <w:r>
        <w:rPr>
          <w:rFonts w:hint="eastAsia"/>
        </w:rPr>
        <w:t xml:space="preserve">n RAN2#119bis-e meeting, </w:t>
      </w:r>
      <w:r>
        <w:rPr>
          <w:rFonts w:eastAsiaTheme="minorEastAsia" w:hint="eastAsia"/>
          <w:lang w:eastAsia="zh-CN"/>
        </w:rPr>
        <w:t>RAN2 reached</w:t>
      </w:r>
      <w:r>
        <w:rPr>
          <w:rFonts w:hint="eastAsia"/>
        </w:rPr>
        <w:t xml:space="preserve"> the agreement that</w:t>
      </w:r>
      <w:r>
        <w:rPr>
          <w:rFonts w:ascii="Arial" w:eastAsiaTheme="minorEastAsia" w:hAnsi="Arial" w:cs="Arial" w:hint="eastAsia"/>
          <w:lang w:eastAsia="zh-CN"/>
        </w:rPr>
        <w:t xml:space="preserve"> </w:t>
      </w:r>
      <w:r>
        <w:t>PC5 signal strength conditions</w:t>
      </w:r>
      <w:r>
        <w:rPr>
          <w:rFonts w:eastAsiaTheme="minorEastAsia" w:hint="eastAsia"/>
          <w:lang w:eastAsia="zh-CN"/>
        </w:rPr>
        <w:t xml:space="preserve"> can be a trigger for relay selection and reselection. </w:t>
      </w:r>
      <w:r>
        <w:rPr>
          <w:rFonts w:eastAsiaTheme="minorEastAsia"/>
          <w:lang w:eastAsia="zh-CN"/>
        </w:rPr>
        <w:t>A</w:t>
      </w:r>
      <w:r>
        <w:rPr>
          <w:rFonts w:eastAsiaTheme="minorEastAsia" w:hint="eastAsia"/>
          <w:lang w:eastAsia="zh-CN"/>
        </w:rPr>
        <w:t xml:space="preserve">s to the </w:t>
      </w:r>
      <w:r>
        <w:rPr>
          <w:rFonts w:eastAsiaTheme="minorEastAsia"/>
          <w:lang w:eastAsia="zh-CN"/>
        </w:rPr>
        <w:t>detail</w:t>
      </w:r>
      <w:r>
        <w:rPr>
          <w:rFonts w:eastAsiaTheme="minorEastAsia" w:hint="eastAsia"/>
          <w:lang w:eastAsia="zh-CN"/>
        </w:rPr>
        <w:t>s of the AS trigger, we first look back to R17 U2N relay, a</w:t>
      </w:r>
      <w:r>
        <w:rPr>
          <w:rFonts w:eastAsiaTheme="minorEastAsia"/>
          <w:lang w:eastAsia="zh-CN"/>
        </w:rPr>
        <w:t>s captured in TS 38.300, the U2N Remote UE triggers U2N Relay selection</w:t>
      </w:r>
      <w:r>
        <w:rPr>
          <w:rFonts w:eastAsiaTheme="minorEastAsia" w:hint="eastAsia"/>
          <w:lang w:eastAsia="zh-CN"/>
        </w:rPr>
        <w:t xml:space="preserve"> and reselection</w:t>
      </w:r>
      <w:r>
        <w:rPr>
          <w:rFonts w:eastAsiaTheme="minorEastAsia"/>
          <w:lang w:eastAsia="zh-CN"/>
        </w:rPr>
        <w:t xml:space="preserve"> in following cases:</w:t>
      </w:r>
    </w:p>
    <w:tbl>
      <w:tblPr>
        <w:tblStyle w:val="a7"/>
        <w:tblW w:w="0" w:type="auto"/>
        <w:tblInd w:w="108" w:type="dxa"/>
        <w:tblLook w:val="04A0" w:firstRow="1" w:lastRow="0" w:firstColumn="1" w:lastColumn="0" w:noHBand="0" w:noVBand="1"/>
      </w:tblPr>
      <w:tblGrid>
        <w:gridCol w:w="8222"/>
      </w:tblGrid>
      <w:tr>
        <w:tc>
          <w:tcPr>
            <w:tcW w:w="8222" w:type="dxa"/>
          </w:tcPr>
          <w:p>
            <w:pPr>
              <w:pStyle w:val="3"/>
              <w:keepLines/>
              <w:overflowPunct w:val="0"/>
              <w:autoSpaceDE w:val="0"/>
              <w:autoSpaceDN w:val="0"/>
              <w:adjustRightInd w:val="0"/>
              <w:spacing w:before="120" w:after="180"/>
              <w:ind w:left="1134" w:hanging="1134"/>
              <w:textAlignment w:val="baseline"/>
              <w:rPr>
                <w:rFonts w:eastAsia="宋体"/>
                <w:lang w:eastAsia="zh-CN"/>
              </w:rPr>
            </w:pPr>
            <w:bookmarkStart w:id="7" w:name="_Toc115390194"/>
            <w:r>
              <w:rPr>
                <w:rFonts w:eastAsia="宋体" w:cs="Times New Roman"/>
                <w:b w:val="0"/>
                <w:bCs w:val="0"/>
                <w:sz w:val="28"/>
                <w:szCs w:val="20"/>
                <w:lang w:val="en-GB" w:eastAsia="ja-JP"/>
              </w:rPr>
              <w:lastRenderedPageBreak/>
              <w:t>16.12.4</w:t>
            </w:r>
            <w:r>
              <w:rPr>
                <w:rFonts w:eastAsia="宋体" w:cs="Times New Roman"/>
                <w:b w:val="0"/>
                <w:bCs w:val="0"/>
                <w:sz w:val="28"/>
                <w:szCs w:val="20"/>
                <w:lang w:val="en-GB" w:eastAsia="ja-JP"/>
              </w:rPr>
              <w:tab/>
              <w:t>Relay Selection/Reselection</w:t>
            </w:r>
            <w:bookmarkEnd w:id="7"/>
          </w:p>
          <w:p>
            <w:pPr>
              <w:rPr>
                <w:rFonts w:eastAsia="宋体"/>
                <w:lang w:eastAsia="zh-CN"/>
              </w:rPr>
            </w:pPr>
            <w:r>
              <w:rPr>
                <w:rFonts w:eastAsia="宋体"/>
                <w:lang w:eastAsia="zh-CN"/>
              </w:rPr>
              <w:t>…</w:t>
            </w:r>
          </w:p>
          <w:p>
            <w:pPr>
              <w:rPr>
                <w:i/>
                <w:lang w:eastAsia="zh-CN"/>
              </w:rPr>
            </w:pPr>
            <w:r>
              <w:t>The U2N Remote UE triggers U2N Relay selection in following cases:</w:t>
            </w:r>
          </w:p>
          <w:p>
            <w:pPr>
              <w:pStyle w:val="B1"/>
              <w:rPr>
                <w:b/>
                <w:lang w:eastAsia="zh-CN"/>
              </w:rPr>
            </w:pPr>
            <w:r>
              <w:t>-</w:t>
            </w:r>
            <w:r>
              <w:tab/>
              <w:t>Direct Uu signal strength of current serving cell of the U2N Remote UE is below a configured signal strength threshold;</w:t>
            </w:r>
          </w:p>
        </w:tc>
      </w:tr>
    </w:tbl>
    <w:p>
      <w:pPr>
        <w:pStyle w:val="a0"/>
        <w:spacing w:after="0"/>
        <w:rPr>
          <w:rFonts w:eastAsiaTheme="minorEastAsia"/>
          <w:b/>
          <w:lang w:val="en-GB" w:eastAsia="zh-CN"/>
        </w:rPr>
      </w:pPr>
    </w:p>
    <w:tbl>
      <w:tblPr>
        <w:tblStyle w:val="a7"/>
        <w:tblW w:w="0" w:type="auto"/>
        <w:tblInd w:w="108" w:type="dxa"/>
        <w:tblLook w:val="04A0" w:firstRow="1" w:lastRow="0" w:firstColumn="1" w:lastColumn="0" w:noHBand="0" w:noVBand="1"/>
      </w:tblPr>
      <w:tblGrid>
        <w:gridCol w:w="8222"/>
      </w:tblGrid>
      <w:tr>
        <w:tc>
          <w:tcPr>
            <w:tcW w:w="8222" w:type="dxa"/>
          </w:tcPr>
          <w:p>
            <w:pPr>
              <w:rPr>
                <w:i/>
                <w:lang w:eastAsia="zh-CN"/>
              </w:rPr>
            </w:pPr>
            <w:r>
              <w:t>The U2N Remote UE may trigger U2N Relay reselection in following cases:</w:t>
            </w:r>
          </w:p>
          <w:p>
            <w:pPr>
              <w:pStyle w:val="B1"/>
              <w:rPr>
                <w:b/>
                <w:lang w:eastAsia="zh-CN"/>
              </w:rPr>
            </w:pPr>
            <w:r>
              <w:t>-</w:t>
            </w:r>
            <w:r>
              <w:tab/>
              <w:t>PC5 signal strength of current U2N Relay UE is below a (pre)configured signal strength threshold;</w:t>
            </w:r>
          </w:p>
        </w:tc>
      </w:tr>
    </w:tbl>
    <w:p>
      <w:pPr>
        <w:pStyle w:val="a0"/>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 principle of R17 U2N relay selection/reselection trigger is, when Remote UE </w:t>
      </w:r>
      <w:r>
        <w:rPr>
          <w:rFonts w:eastAsiaTheme="minorEastAsia"/>
          <w:lang w:eastAsia="zh-CN"/>
        </w:rPr>
        <w:t>measured</w:t>
      </w:r>
      <w:r>
        <w:rPr>
          <w:rFonts w:eastAsiaTheme="minorEastAsia" w:hint="eastAsia"/>
          <w:lang w:eastAsia="zh-CN"/>
        </w:rPr>
        <w:t xml:space="preserve"> radio link quality is below a threshold, before RLF occur, Remote UE can trigger relay selection/reselection. </w:t>
      </w:r>
      <w:r>
        <w:rPr>
          <w:rFonts w:eastAsiaTheme="minorEastAsia"/>
          <w:lang w:eastAsia="zh-CN"/>
        </w:rPr>
        <w:t>T</w:t>
      </w:r>
      <w:r>
        <w:rPr>
          <w:rFonts w:eastAsiaTheme="minorEastAsia" w:hint="eastAsia"/>
          <w:lang w:eastAsia="zh-CN"/>
        </w:rPr>
        <w:t xml:space="preserve">he same </w:t>
      </w:r>
      <w:r>
        <w:rPr>
          <w:rFonts w:eastAsiaTheme="minorEastAsia"/>
          <w:lang w:eastAsia="zh-CN"/>
        </w:rPr>
        <w:t>principle</w:t>
      </w:r>
      <w:r>
        <w:rPr>
          <w:rFonts w:eastAsiaTheme="minorEastAsia" w:hint="eastAsia"/>
          <w:lang w:eastAsia="zh-CN"/>
        </w:rPr>
        <w:t xml:space="preserve"> can be reused for U2U relay. That is when Remote UE detected radio link quality towards target UE is below a threshold, it trigger relay selection; when Remote UE detected </w:t>
      </w:r>
      <w:r>
        <w:rPr>
          <w:rFonts w:eastAsiaTheme="minorEastAsia"/>
          <w:lang w:eastAsia="zh-CN"/>
        </w:rPr>
        <w:t>radio</w:t>
      </w:r>
      <w:r>
        <w:rPr>
          <w:rFonts w:eastAsiaTheme="minorEastAsia" w:hint="eastAsia"/>
          <w:lang w:eastAsia="zh-CN"/>
        </w:rPr>
        <w:t xml:space="preserve"> link quality towards Relay UE is below a threshold, it trigger relay reselection.</w:t>
      </w:r>
    </w:p>
    <w:p>
      <w:pPr>
        <w:pStyle w:val="a0"/>
        <w:rPr>
          <w:rFonts w:eastAsia="宋体"/>
          <w:b/>
          <w:lang w:val="en-GB" w:eastAsia="zh-CN"/>
        </w:rPr>
      </w:pPr>
      <w:r>
        <w:rPr>
          <w:rFonts w:eastAsia="宋体"/>
          <w:b/>
          <w:szCs w:val="20"/>
          <w:lang w:val="en-GB" w:eastAsia="zh-CN"/>
        </w:rPr>
        <w:t xml:space="preserve">Proposal </w:t>
      </w:r>
      <w:r>
        <w:rPr>
          <w:rFonts w:eastAsia="宋体" w:hint="eastAsia"/>
          <w:b/>
          <w:szCs w:val="20"/>
          <w:lang w:val="en-GB" w:eastAsia="zh-CN"/>
        </w:rPr>
        <w:t>6</w:t>
      </w:r>
      <w:r>
        <w:rPr>
          <w:rFonts w:eastAsia="宋体"/>
          <w:b/>
          <w:szCs w:val="20"/>
          <w:lang w:val="en-GB" w:eastAsia="zh-CN"/>
        </w:rPr>
        <w:t>:</w:t>
      </w:r>
      <w:r>
        <w:rPr>
          <w:rFonts w:eastAsia="宋体" w:hint="eastAsia"/>
          <w:b/>
          <w:szCs w:val="20"/>
          <w:lang w:val="en-GB" w:eastAsia="zh-CN"/>
        </w:rPr>
        <w:t xml:space="preserve"> Remote UE can trigger U2U Relay selection when </w:t>
      </w:r>
      <w:r>
        <w:rPr>
          <w:rFonts w:eastAsia="宋体"/>
          <w:b/>
          <w:lang w:val="en-GB" w:eastAsia="zh-CN"/>
        </w:rPr>
        <w:t xml:space="preserve">SL-RSRP/SD-RSRP towards target </w:t>
      </w:r>
      <w:r>
        <w:rPr>
          <w:rFonts w:eastAsia="宋体" w:hint="eastAsia"/>
          <w:b/>
          <w:lang w:val="en-GB" w:eastAsia="zh-CN"/>
        </w:rPr>
        <w:t xml:space="preserve">Remote UE </w:t>
      </w:r>
      <w:r>
        <w:rPr>
          <w:rFonts w:eastAsia="宋体"/>
          <w:b/>
          <w:lang w:val="en-GB" w:eastAsia="zh-CN"/>
        </w:rPr>
        <w:t>is below a threshold</w:t>
      </w:r>
      <w:r>
        <w:rPr>
          <w:rFonts w:eastAsia="宋体" w:hint="eastAsia"/>
          <w:b/>
          <w:lang w:val="en-GB" w:eastAsia="zh-CN"/>
        </w:rPr>
        <w:t>.</w:t>
      </w:r>
    </w:p>
    <w:p>
      <w:pPr>
        <w:pStyle w:val="a0"/>
        <w:rPr>
          <w:rFonts w:eastAsia="宋体"/>
          <w:b/>
          <w:lang w:val="en-GB" w:eastAsia="zh-CN"/>
        </w:rPr>
      </w:pPr>
      <w:r>
        <w:rPr>
          <w:rFonts w:eastAsia="宋体"/>
          <w:b/>
          <w:szCs w:val="20"/>
          <w:lang w:val="en-GB" w:eastAsia="zh-CN"/>
        </w:rPr>
        <w:t xml:space="preserve">Proposal </w:t>
      </w:r>
      <w:r>
        <w:rPr>
          <w:rFonts w:eastAsia="宋体" w:hint="eastAsia"/>
          <w:b/>
          <w:szCs w:val="20"/>
          <w:lang w:val="en-GB" w:eastAsia="zh-CN"/>
        </w:rPr>
        <w:t>7</w:t>
      </w:r>
      <w:r>
        <w:rPr>
          <w:rFonts w:eastAsia="宋体"/>
          <w:b/>
          <w:szCs w:val="20"/>
          <w:lang w:val="en-GB" w:eastAsia="zh-CN"/>
        </w:rPr>
        <w:t>:</w:t>
      </w:r>
      <w:r>
        <w:rPr>
          <w:rFonts w:eastAsia="宋体" w:hint="eastAsia"/>
          <w:b/>
          <w:szCs w:val="20"/>
          <w:lang w:val="en-GB" w:eastAsia="zh-CN"/>
        </w:rPr>
        <w:t xml:space="preserve"> Remote UE can trigger U2U Relay reselection when </w:t>
      </w:r>
      <w:r>
        <w:rPr>
          <w:rFonts w:eastAsia="宋体"/>
          <w:b/>
          <w:lang w:val="en-GB" w:eastAsia="zh-CN"/>
        </w:rPr>
        <w:t xml:space="preserve">SL-RSRP/SD-RSRP towards </w:t>
      </w:r>
      <w:r>
        <w:rPr>
          <w:rFonts w:eastAsia="宋体" w:hint="eastAsia"/>
          <w:b/>
          <w:lang w:val="en-GB" w:eastAsia="zh-CN"/>
        </w:rPr>
        <w:t>R</w:t>
      </w:r>
      <w:r>
        <w:rPr>
          <w:rFonts w:eastAsia="宋体"/>
          <w:b/>
          <w:lang w:val="en-GB" w:eastAsia="zh-CN"/>
        </w:rPr>
        <w:t>e</w:t>
      </w:r>
      <w:r>
        <w:rPr>
          <w:rFonts w:eastAsia="宋体" w:hint="eastAsia"/>
          <w:b/>
          <w:lang w:val="en-GB" w:eastAsia="zh-CN"/>
        </w:rPr>
        <w:t>lay UE</w:t>
      </w:r>
      <w:r>
        <w:rPr>
          <w:rFonts w:eastAsia="宋体"/>
          <w:b/>
          <w:lang w:val="en-GB" w:eastAsia="zh-CN"/>
        </w:rPr>
        <w:t xml:space="preserve"> is below a threshold</w:t>
      </w:r>
      <w:r>
        <w:rPr>
          <w:rFonts w:eastAsia="宋体" w:hint="eastAsia"/>
          <w:b/>
          <w:lang w:val="en-GB" w:eastAsia="zh-CN"/>
        </w:rPr>
        <w:t>.</w:t>
      </w:r>
    </w:p>
    <w:p>
      <w:pPr>
        <w:pStyle w:val="3"/>
        <w:ind w:left="851" w:hanging="851"/>
        <w:rPr>
          <w:rFonts w:ascii="Times New Roman" w:hAnsi="Times New Roman" w:cs="Times New Roman"/>
          <w:szCs w:val="20"/>
        </w:rPr>
      </w:pPr>
      <w:r>
        <w:rPr>
          <w:rFonts w:ascii="Times New Roman" w:eastAsiaTheme="minorEastAsia" w:hAnsi="Times New Roman" w:cs="Times New Roman" w:hint="eastAsia"/>
          <w:sz w:val="20"/>
          <w:szCs w:val="20"/>
          <w:lang w:eastAsia="zh-CN"/>
        </w:rPr>
        <w:t xml:space="preserve">2.2.4 </w:t>
      </w:r>
      <w:r>
        <w:rPr>
          <w:rFonts w:ascii="Times New Roman" w:hAnsi="Times New Roman" w:cs="Times New Roman"/>
          <w:sz w:val="20"/>
          <w:szCs w:val="20"/>
        </w:rPr>
        <w:t>When SL-RSRP and SD-RSRP are used as criteria for Relay (re)-selection</w:t>
      </w:r>
    </w:p>
    <w:p>
      <w:pPr>
        <w:pStyle w:val="a0"/>
        <w:rPr>
          <w:rFonts w:eastAsiaTheme="minorEastAsia"/>
          <w:lang w:eastAsia="zh-CN"/>
        </w:rPr>
      </w:pPr>
      <w:r>
        <w:t>I</w:t>
      </w:r>
      <w:r>
        <w:rPr>
          <w:rFonts w:hint="eastAsia"/>
        </w:rPr>
        <w:t xml:space="preserve">n RAN2#119bis-e meeting, </w:t>
      </w:r>
      <w:r>
        <w:rPr>
          <w:rFonts w:eastAsiaTheme="minorEastAsia" w:hint="eastAsia"/>
          <w:lang w:eastAsia="zh-CN"/>
        </w:rPr>
        <w:t>RAN2 reached</w:t>
      </w:r>
      <w:r>
        <w:rPr>
          <w:rFonts w:hint="eastAsia"/>
        </w:rPr>
        <w:t xml:space="preserve"> the </w:t>
      </w:r>
      <w:r>
        <w:rPr>
          <w:rFonts w:eastAsiaTheme="minorEastAsia" w:hint="eastAsia"/>
          <w:lang w:eastAsia="zh-CN"/>
        </w:rPr>
        <w:t xml:space="preserve">following </w:t>
      </w:r>
      <w:r>
        <w:rPr>
          <w:rFonts w:hint="eastAsia"/>
        </w:rPr>
        <w:t>agreement</w:t>
      </w:r>
      <w:r>
        <w:rPr>
          <w:rFonts w:eastAsiaTheme="minorEastAsia" w:hint="eastAsia"/>
          <w:lang w:eastAsia="zh-CN"/>
        </w:rPr>
        <w:t>:</w:t>
      </w:r>
    </w:p>
    <w:p>
      <w:pPr>
        <w:pStyle w:val="Doc-text2"/>
        <w:pBdr>
          <w:top w:val="single" w:sz="4" w:space="1" w:color="auto"/>
          <w:left w:val="single" w:sz="4" w:space="4" w:color="auto"/>
          <w:bottom w:val="single" w:sz="4" w:space="1" w:color="auto"/>
          <w:right w:val="single" w:sz="4" w:space="0" w:color="auto"/>
        </w:pBdr>
        <w:tabs>
          <w:tab w:val="clear" w:pos="1622"/>
          <w:tab w:val="left" w:pos="1276"/>
        </w:tabs>
        <w:ind w:left="426"/>
      </w:pPr>
      <w:r>
        <w:t>Proposal 5.1:</w:t>
      </w:r>
      <w:r>
        <w:tab/>
      </w:r>
      <w:r>
        <w:tab/>
        <w:t xml:space="preserve">SL-RSRP and SD-RSRP can be used for relay selection/reselection criteria.  </w:t>
      </w:r>
      <w:proofErr w:type="gramStart"/>
      <w:r>
        <w:t>FFS when each of the two quantities are used and whether to re-use the criteria in Rel17.</w:t>
      </w:r>
      <w:bookmarkStart w:id="8" w:name="_GoBack"/>
      <w:bookmarkEnd w:id="8"/>
      <w:proofErr w:type="gramEnd"/>
    </w:p>
    <w:p>
      <w:pPr>
        <w:pStyle w:val="a0"/>
        <w:spacing w:beforeLines="50" w:before="120"/>
        <w:rPr>
          <w:rFonts w:eastAsiaTheme="minorEastAsia"/>
          <w:lang w:val="en-GB" w:eastAsia="zh-CN"/>
        </w:rPr>
      </w:pPr>
      <w:r>
        <w:rPr>
          <w:rFonts w:eastAsiaTheme="minorEastAsia"/>
          <w:lang w:eastAsia="zh-CN"/>
        </w:rPr>
        <w:t>A</w:t>
      </w:r>
      <w:r>
        <w:rPr>
          <w:rFonts w:eastAsiaTheme="minorEastAsia" w:hint="eastAsia"/>
          <w:lang w:eastAsia="zh-CN"/>
        </w:rPr>
        <w:t xml:space="preserve">s to </w:t>
      </w:r>
      <w:r>
        <w:t>when each of the two quantities are used</w:t>
      </w:r>
      <w:r>
        <w:rPr>
          <w:rFonts w:eastAsiaTheme="minorEastAsia" w:hint="eastAsia"/>
          <w:lang w:eastAsia="zh-CN"/>
        </w:rPr>
        <w:t xml:space="preserve">, </w:t>
      </w:r>
      <w:r>
        <w:rPr>
          <w:rFonts w:eastAsiaTheme="minorEastAsia"/>
          <w:lang w:eastAsia="zh-CN"/>
        </w:rPr>
        <w:t>principle</w:t>
      </w:r>
      <w:r>
        <w:rPr>
          <w:rFonts w:eastAsiaTheme="minorEastAsia" w:hint="eastAsia"/>
          <w:lang w:eastAsia="zh-CN"/>
        </w:rPr>
        <w:t xml:space="preserve"> for U2N in R17 can be reused.</w:t>
      </w:r>
      <w:r>
        <w:rPr>
          <w:rFonts w:eastAsiaTheme="minorEastAsia" w:hint="eastAsia"/>
          <w:lang w:val="en-GB" w:eastAsia="zh-CN"/>
        </w:rPr>
        <w:t>For U2N relay,</w:t>
      </w:r>
      <w:r>
        <w:t xml:space="preserve"> </w:t>
      </w:r>
      <w:r>
        <w:rPr>
          <w:rFonts w:eastAsiaTheme="minorEastAsia" w:hint="eastAsia"/>
          <w:lang w:eastAsia="zh-CN"/>
        </w:rPr>
        <w:t xml:space="preserve">the </w:t>
      </w:r>
      <w:r>
        <w:t>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w:t>
      </w:r>
      <w:r>
        <w:rPr>
          <w:rFonts w:eastAsiaTheme="minorEastAsia" w:hint="eastAsia"/>
          <w:lang w:eastAsia="zh-CN"/>
        </w:rPr>
        <w:t xml:space="preserve"> </w:t>
      </w:r>
      <w:r>
        <w:t>If multiple suitable NR sidelink U2N Relay UEs are available, it is up to Remote UE implementation to choose one NR sidelink U2N Relay UE.</w:t>
      </w:r>
    </w:p>
    <w:p>
      <w:pPr>
        <w:pStyle w:val="a0"/>
        <w:rPr>
          <w:rFonts w:eastAsiaTheme="minorEastAsia"/>
          <w:lang w:val="en-GB" w:eastAsia="zh-CN"/>
        </w:rPr>
      </w:pPr>
      <w:r>
        <w:rPr>
          <w:rFonts w:eastAsiaTheme="minorEastAsia" w:hint="eastAsia"/>
          <w:lang w:val="en-GB" w:eastAsia="zh-CN"/>
        </w:rPr>
        <w:t xml:space="preserve">For U2U relay selection, same principle should be considered. In addition, </w:t>
      </w:r>
      <w:r>
        <w:rPr>
          <w:rFonts w:eastAsiaTheme="minorEastAsia" w:hint="eastAsia"/>
          <w:lang w:eastAsia="zh-CN"/>
        </w:rPr>
        <w:t xml:space="preserve">the </w:t>
      </w:r>
      <w:r>
        <w:t xml:space="preserve">Remote UE </w:t>
      </w:r>
      <w:r>
        <w:rPr>
          <w:rFonts w:eastAsiaTheme="minorEastAsia" w:hint="eastAsia"/>
          <w:lang w:eastAsia="zh-CN"/>
        </w:rPr>
        <w:t xml:space="preserve">can </w:t>
      </w:r>
      <w:r>
        <w:t xml:space="preserve">use SL-RSRP </w:t>
      </w:r>
      <w:r>
        <w:rPr>
          <w:rFonts w:eastAsiaTheme="minorEastAsia" w:hint="eastAsia"/>
          <w:lang w:eastAsia="zh-CN"/>
        </w:rPr>
        <w:t>as criteria</w:t>
      </w:r>
      <w:r>
        <w:t xml:space="preserve"> for relay </w:t>
      </w:r>
      <w:r>
        <w:rPr>
          <w:rFonts w:eastAsiaTheme="minorEastAsia" w:hint="eastAsia"/>
          <w:lang w:eastAsia="zh-CN"/>
        </w:rPr>
        <w:t>(</w:t>
      </w:r>
      <w:r>
        <w:t>re</w:t>
      </w:r>
      <w:r>
        <w:rPr>
          <w:rFonts w:eastAsiaTheme="minorEastAsia" w:hint="eastAsia"/>
          <w:lang w:eastAsia="zh-CN"/>
        </w:rPr>
        <w:t>-)</w:t>
      </w:r>
      <w:r>
        <w:t xml:space="preserve">selection when there is data transmission from </w:t>
      </w:r>
      <w:r>
        <w:rPr>
          <w:rFonts w:eastAsiaTheme="minorEastAsia" w:hint="eastAsia"/>
          <w:lang w:eastAsia="zh-CN"/>
        </w:rPr>
        <w:t>the</w:t>
      </w:r>
      <w:r>
        <w:t xml:space="preserve"> Relay UE to </w:t>
      </w:r>
      <w:r>
        <w:rPr>
          <w:rFonts w:eastAsiaTheme="minorEastAsia" w:hint="eastAsia"/>
          <w:lang w:eastAsia="zh-CN"/>
        </w:rPr>
        <w:t>the</w:t>
      </w:r>
      <w:r>
        <w:t xml:space="preserve"> Remote UE</w:t>
      </w:r>
      <w:r>
        <w:rPr>
          <w:rFonts w:eastAsiaTheme="minorEastAsia" w:hint="eastAsia"/>
          <w:lang w:eastAsia="zh-CN"/>
        </w:rPr>
        <w:t>.</w:t>
      </w:r>
      <w:r>
        <w:rPr>
          <w:rFonts w:eastAsiaTheme="minorEastAsia" w:hint="eastAsia"/>
          <w:lang w:val="en-GB" w:eastAsia="zh-CN"/>
        </w:rPr>
        <w:t xml:space="preserve"> If there </w:t>
      </w:r>
      <w:r>
        <w:rPr>
          <w:rFonts w:eastAsiaTheme="minorEastAsia"/>
          <w:lang w:val="en-GB" w:eastAsia="zh-CN"/>
        </w:rPr>
        <w:t>is</w:t>
      </w:r>
      <w:r>
        <w:rPr>
          <w:rFonts w:eastAsiaTheme="minorEastAsia" w:hint="eastAsia"/>
          <w:lang w:val="en-GB" w:eastAsia="zh-CN"/>
        </w:rPr>
        <w:t xml:space="preserve"> more than one </w:t>
      </w:r>
      <w:r>
        <w:rPr>
          <w:rFonts w:eastAsiaTheme="minorEastAsia"/>
          <w:lang w:val="en-GB" w:eastAsia="zh-CN"/>
        </w:rPr>
        <w:t>candidate U2U</w:t>
      </w:r>
      <w:r>
        <w:rPr>
          <w:rFonts w:eastAsiaTheme="minorEastAsia" w:hint="eastAsia"/>
          <w:lang w:val="en-GB" w:eastAsia="zh-CN"/>
        </w:rPr>
        <w:t xml:space="preserve"> Relay UE </w:t>
      </w:r>
      <w:proofErr w:type="gramStart"/>
      <w:r>
        <w:rPr>
          <w:rFonts w:eastAsiaTheme="minorEastAsia" w:hint="eastAsia"/>
          <w:lang w:val="en-GB" w:eastAsia="zh-CN"/>
        </w:rPr>
        <w:t>are</w:t>
      </w:r>
      <w:proofErr w:type="gramEnd"/>
      <w:r>
        <w:rPr>
          <w:rFonts w:eastAsiaTheme="minorEastAsia" w:hint="eastAsia"/>
          <w:lang w:val="en-GB" w:eastAsia="zh-CN"/>
        </w:rPr>
        <w:t xml:space="preserve"> detected, which one is chosen can be left to Remote UE implementation.</w:t>
      </w:r>
    </w:p>
    <w:p>
      <w:pPr>
        <w:pStyle w:val="a0"/>
        <w:rPr>
          <w:rFonts w:eastAsia="宋体"/>
          <w:b/>
          <w:szCs w:val="20"/>
          <w:lang w:val="en-GB" w:eastAsia="zh-CN"/>
        </w:rPr>
      </w:pPr>
      <w:r>
        <w:rPr>
          <w:rFonts w:eastAsia="宋体"/>
          <w:b/>
          <w:szCs w:val="20"/>
          <w:lang w:val="en-GB" w:eastAsia="zh-CN"/>
        </w:rPr>
        <w:t xml:space="preserve">Proposal </w:t>
      </w:r>
      <w:r>
        <w:rPr>
          <w:rFonts w:eastAsia="宋体" w:hint="eastAsia"/>
          <w:b/>
          <w:szCs w:val="20"/>
          <w:lang w:val="en-GB" w:eastAsia="zh-CN"/>
        </w:rPr>
        <w:t>8</w:t>
      </w:r>
      <w:r>
        <w:rPr>
          <w:rFonts w:eastAsia="宋体"/>
          <w:b/>
          <w:szCs w:val="20"/>
          <w:lang w:val="en-GB" w:eastAsia="zh-CN"/>
        </w:rPr>
        <w:t>:</w:t>
      </w:r>
      <w:r>
        <w:rPr>
          <w:rFonts w:eastAsia="宋体" w:hint="eastAsia"/>
          <w:b/>
          <w:szCs w:val="20"/>
          <w:lang w:val="en-GB" w:eastAsia="zh-CN"/>
        </w:rPr>
        <w:t xml:space="preserve"> Remote UE use </w:t>
      </w:r>
      <w:r>
        <w:rPr>
          <w:rFonts w:eastAsia="宋体"/>
          <w:b/>
          <w:szCs w:val="20"/>
          <w:lang w:val="en-GB" w:eastAsia="zh-CN"/>
        </w:rPr>
        <w:t>SL-RSRP</w:t>
      </w:r>
      <w:r>
        <w:rPr>
          <w:rFonts w:eastAsia="宋体" w:hint="eastAsia"/>
          <w:b/>
          <w:szCs w:val="20"/>
          <w:lang w:val="en-GB" w:eastAsia="zh-CN"/>
        </w:rPr>
        <w:t xml:space="preserve"> as </w:t>
      </w:r>
      <w:r>
        <w:rPr>
          <w:rFonts w:eastAsia="宋体"/>
          <w:b/>
          <w:szCs w:val="20"/>
          <w:lang w:val="en-GB" w:eastAsia="zh-CN"/>
        </w:rPr>
        <w:t>selection/reselection criteria</w:t>
      </w:r>
      <w:r>
        <w:rPr>
          <w:rFonts w:eastAsia="宋体" w:hint="eastAsia"/>
          <w:b/>
          <w:szCs w:val="20"/>
          <w:lang w:val="en-GB" w:eastAsia="zh-CN"/>
        </w:rPr>
        <w:t xml:space="preserve"> if </w:t>
      </w:r>
      <w:r>
        <w:rPr>
          <w:rFonts w:eastAsia="宋体"/>
          <w:b/>
          <w:szCs w:val="20"/>
          <w:lang w:val="en-GB" w:eastAsia="zh-CN"/>
        </w:rPr>
        <w:t>there is data transmission from Relay UE to Remote UE</w:t>
      </w:r>
      <w:r>
        <w:rPr>
          <w:rFonts w:eastAsia="宋体" w:hint="eastAsia"/>
          <w:b/>
          <w:szCs w:val="20"/>
          <w:lang w:val="en-GB" w:eastAsia="zh-CN"/>
        </w:rPr>
        <w:t xml:space="preserve">. </w:t>
      </w:r>
      <w:r>
        <w:rPr>
          <w:rFonts w:eastAsia="宋体"/>
          <w:b/>
          <w:szCs w:val="20"/>
          <w:lang w:val="en-GB" w:eastAsia="zh-CN"/>
        </w:rPr>
        <w:t>I</w:t>
      </w:r>
      <w:r>
        <w:rPr>
          <w:rFonts w:eastAsia="宋体" w:hint="eastAsia"/>
          <w:b/>
          <w:szCs w:val="20"/>
          <w:lang w:val="en-GB" w:eastAsia="zh-CN"/>
        </w:rPr>
        <w:t xml:space="preserve">n case of no data </w:t>
      </w:r>
      <w:r>
        <w:rPr>
          <w:rFonts w:eastAsia="宋体"/>
          <w:b/>
          <w:szCs w:val="20"/>
          <w:lang w:val="en-GB" w:eastAsia="zh-CN"/>
        </w:rPr>
        <w:t>transmission from Relay UE</w:t>
      </w:r>
      <w:r>
        <w:rPr>
          <w:rFonts w:eastAsia="宋体" w:hint="eastAsia"/>
          <w:b/>
          <w:szCs w:val="20"/>
          <w:lang w:val="en-GB" w:eastAsia="zh-CN"/>
        </w:rPr>
        <w:t xml:space="preserve">, </w:t>
      </w:r>
      <w:r>
        <w:rPr>
          <w:rFonts w:eastAsia="宋体"/>
          <w:b/>
          <w:szCs w:val="20"/>
          <w:lang w:val="en-GB" w:eastAsia="zh-CN"/>
        </w:rPr>
        <w:t xml:space="preserve">it is left to </w:t>
      </w:r>
      <w:r>
        <w:rPr>
          <w:rFonts w:eastAsia="宋体" w:hint="eastAsia"/>
          <w:b/>
          <w:szCs w:val="20"/>
          <w:lang w:val="en-GB" w:eastAsia="zh-CN"/>
        </w:rPr>
        <w:t xml:space="preserve">Remote </w:t>
      </w:r>
      <w:r>
        <w:rPr>
          <w:rFonts w:eastAsia="宋体"/>
          <w:b/>
          <w:szCs w:val="20"/>
          <w:lang w:val="en-GB" w:eastAsia="zh-CN"/>
        </w:rPr>
        <w:t>UE implementation whether to use SL-RSRP or SD-RSRP</w:t>
      </w:r>
      <w:r>
        <w:rPr>
          <w:rFonts w:eastAsia="宋体" w:hint="eastAsia"/>
          <w:b/>
          <w:szCs w:val="20"/>
          <w:lang w:val="en-GB" w:eastAsia="zh-CN"/>
        </w:rPr>
        <w:t>.</w:t>
      </w:r>
    </w:p>
    <w:p>
      <w:pPr>
        <w:pStyle w:val="a0"/>
        <w:rPr>
          <w:rFonts w:eastAsiaTheme="minorEastAsia"/>
          <w:lang w:eastAsia="zh-CN"/>
        </w:rPr>
      </w:pPr>
      <w:r>
        <w:rPr>
          <w:rFonts w:eastAsia="宋体"/>
          <w:b/>
          <w:szCs w:val="20"/>
          <w:lang w:val="en-GB" w:eastAsia="zh-CN"/>
        </w:rPr>
        <w:t xml:space="preserve">Proposal </w:t>
      </w:r>
      <w:r>
        <w:rPr>
          <w:rFonts w:eastAsia="宋体" w:hint="eastAsia"/>
          <w:b/>
          <w:szCs w:val="20"/>
          <w:lang w:val="en-GB" w:eastAsia="zh-CN"/>
        </w:rPr>
        <w:t>9</w:t>
      </w:r>
      <w:r>
        <w:rPr>
          <w:rFonts w:eastAsia="宋体"/>
          <w:b/>
          <w:szCs w:val="20"/>
          <w:lang w:val="en-GB" w:eastAsia="zh-CN"/>
        </w:rPr>
        <w:t>: If multiple suitable candidate</w:t>
      </w:r>
      <w:r>
        <w:rPr>
          <w:rFonts w:eastAsia="宋体" w:hint="eastAsia"/>
          <w:b/>
          <w:szCs w:val="20"/>
          <w:lang w:val="en-GB" w:eastAsia="zh-CN"/>
        </w:rPr>
        <w:t>s</w:t>
      </w:r>
      <w:r>
        <w:rPr>
          <w:rFonts w:eastAsia="宋体"/>
          <w:b/>
          <w:szCs w:val="20"/>
          <w:lang w:val="en-GB" w:eastAsia="zh-CN"/>
        </w:rPr>
        <w:t xml:space="preserve"> U2U Relay UEs which meet all the AS-layer &amp; higher layer criteria are available, it is up to Remote UE implementation to choose one U2U </w:t>
      </w:r>
      <w:r>
        <w:rPr>
          <w:rFonts w:eastAsia="宋体" w:hint="eastAsia"/>
          <w:b/>
          <w:szCs w:val="20"/>
          <w:lang w:val="en-GB" w:eastAsia="zh-CN"/>
        </w:rPr>
        <w:t>R</w:t>
      </w:r>
      <w:r>
        <w:rPr>
          <w:rFonts w:eastAsia="宋体"/>
          <w:b/>
          <w:szCs w:val="20"/>
          <w:lang w:val="en-GB" w:eastAsia="zh-CN"/>
        </w:rPr>
        <w:t>elay UE.</w:t>
      </w:r>
    </w:p>
    <w:p>
      <w:pPr>
        <w:pStyle w:val="1"/>
        <w:jc w:val="both"/>
      </w:pPr>
      <w:r>
        <w:t>Conclusion</w:t>
      </w:r>
    </w:p>
    <w:p>
      <w:pPr>
        <w:pStyle w:val="a0"/>
      </w:pPr>
      <w:r>
        <w:rPr>
          <w:rFonts w:eastAsia="宋体" w:hint="eastAsia"/>
          <w:lang w:val="en-GB" w:eastAsia="zh-CN"/>
        </w:rPr>
        <w:t>According to the analysis in section 2, it is proposed:</w:t>
      </w:r>
    </w:p>
    <w:p>
      <w:pPr>
        <w:pStyle w:val="a0"/>
        <w:rPr>
          <w:rFonts w:eastAsia="宋体"/>
          <w:lang w:val="en-GB"/>
        </w:rPr>
      </w:pPr>
      <w:bookmarkStart w:id="9" w:name="_Ref69910645"/>
      <w:r>
        <w:rPr>
          <w:rFonts w:eastAsia="宋体"/>
          <w:b/>
          <w:lang w:val="en-GB" w:eastAsia="zh-CN"/>
        </w:rPr>
        <w:t xml:space="preserve">Proposal </w:t>
      </w:r>
      <w:r>
        <w:rPr>
          <w:rFonts w:eastAsia="宋体" w:hint="eastAsia"/>
          <w:b/>
          <w:lang w:val="en-GB" w:eastAsia="zh-CN"/>
        </w:rPr>
        <w:t>1</w:t>
      </w:r>
      <w:r>
        <w:rPr>
          <w:rFonts w:eastAsia="宋体"/>
          <w:b/>
          <w:lang w:val="en-GB" w:eastAsia="zh-CN"/>
        </w:rPr>
        <w:t xml:space="preserve">: </w:t>
      </w:r>
      <w:r>
        <w:rPr>
          <w:rFonts w:eastAsia="宋体" w:hint="eastAsia"/>
          <w:b/>
          <w:lang w:val="en-GB" w:eastAsia="zh-CN"/>
        </w:rPr>
        <w:t xml:space="preserve">RAN2 to </w:t>
      </w:r>
      <w:r>
        <w:rPr>
          <w:rFonts w:eastAsia="宋体"/>
          <w:b/>
          <w:lang w:val="en-GB" w:eastAsia="zh-CN"/>
        </w:rPr>
        <w:t>discuss</w:t>
      </w:r>
      <w:r>
        <w:rPr>
          <w:rFonts w:eastAsia="宋体" w:hint="eastAsia"/>
          <w:b/>
          <w:lang w:val="en-GB" w:eastAsia="zh-CN"/>
        </w:rPr>
        <w:t xml:space="preserve"> whether there is any additional RAN2 impacts in order to support integrated U2U relay discovery procedure.</w:t>
      </w:r>
    </w:p>
    <w:p>
      <w:pPr>
        <w:pStyle w:val="a0"/>
        <w:spacing w:beforeLines="50" w:before="120"/>
        <w:rPr>
          <w:rFonts w:eastAsia="宋体"/>
          <w:b/>
          <w:lang w:val="en-GB" w:eastAsia="zh-CN"/>
        </w:rPr>
      </w:pPr>
      <w:r>
        <w:rPr>
          <w:rFonts w:eastAsia="宋体"/>
          <w:b/>
          <w:lang w:val="en-GB" w:eastAsia="zh-CN"/>
        </w:rPr>
        <w:t xml:space="preserve">Proposal </w:t>
      </w:r>
      <w:r>
        <w:rPr>
          <w:rFonts w:eastAsia="宋体" w:hint="eastAsia"/>
          <w:b/>
          <w:lang w:val="en-GB" w:eastAsia="zh-CN"/>
        </w:rPr>
        <w:t>2</w:t>
      </w:r>
      <w:r>
        <w:rPr>
          <w:rFonts w:eastAsia="宋体"/>
          <w:b/>
          <w:lang w:val="en-GB" w:eastAsia="zh-CN"/>
        </w:rPr>
        <w:t xml:space="preserve">: </w:t>
      </w:r>
      <w:r>
        <w:rPr>
          <w:rFonts w:eastAsia="宋体" w:hint="eastAsia"/>
          <w:b/>
          <w:szCs w:val="20"/>
          <w:lang w:val="en-GB" w:eastAsia="zh-CN"/>
        </w:rPr>
        <w:t xml:space="preserve">Remote UE can trigger U2U Relay discovery message transmission when </w:t>
      </w:r>
      <w:r>
        <w:rPr>
          <w:rFonts w:eastAsia="宋体"/>
          <w:b/>
          <w:lang w:val="en-GB" w:eastAsia="zh-CN"/>
        </w:rPr>
        <w:t>SL-RSRP/SD-RSRP of the current direct PC5 link between a pair of connected Remote UEs is below a threshold.</w:t>
      </w:r>
    </w:p>
    <w:p>
      <w:pPr>
        <w:pStyle w:val="a0"/>
        <w:spacing w:beforeLines="50" w:before="120"/>
        <w:rPr>
          <w:rFonts w:eastAsia="宋体"/>
          <w:b/>
          <w:szCs w:val="20"/>
          <w:lang w:val="en-GB" w:eastAsia="zh-CN"/>
        </w:rPr>
      </w:pPr>
      <w:r>
        <w:rPr>
          <w:rFonts w:eastAsia="宋体"/>
          <w:b/>
          <w:szCs w:val="20"/>
          <w:lang w:val="en-GB" w:eastAsia="zh-CN"/>
        </w:rPr>
        <w:lastRenderedPageBreak/>
        <w:t>Proposal 3: Only when the PC5 link between the source Remote UE and the candidate Relay UE is above an SD-RSRP threshold, the Relay UE can forward the U2U relay discovery message or send response to the source Remote UE.</w:t>
      </w:r>
    </w:p>
    <w:p>
      <w:pPr>
        <w:pStyle w:val="a0"/>
        <w:rPr>
          <w:rFonts w:eastAsia="宋体"/>
          <w:b/>
          <w:szCs w:val="20"/>
          <w:lang w:val="en-GB" w:eastAsia="zh-CN"/>
        </w:rPr>
      </w:pPr>
      <w:r>
        <w:rPr>
          <w:rFonts w:eastAsia="宋体"/>
          <w:b/>
          <w:szCs w:val="20"/>
          <w:lang w:val="en-GB" w:eastAsia="zh-CN"/>
        </w:rPr>
        <w:t xml:space="preserve">Proposal </w:t>
      </w:r>
      <w:r>
        <w:rPr>
          <w:rFonts w:eastAsia="宋体" w:hint="eastAsia"/>
          <w:b/>
          <w:szCs w:val="20"/>
          <w:lang w:val="en-GB" w:eastAsia="zh-CN"/>
        </w:rPr>
        <w:t>4</w:t>
      </w:r>
      <w:r>
        <w:rPr>
          <w:rFonts w:eastAsia="宋体"/>
          <w:b/>
          <w:szCs w:val="20"/>
          <w:lang w:val="en-GB" w:eastAsia="zh-CN"/>
        </w:rPr>
        <w:t>: The resource allocation mode determination for U2U relay and Remote UE should follow the Rel-16 principle.</w:t>
      </w:r>
    </w:p>
    <w:p>
      <w:pPr>
        <w:pStyle w:val="a0"/>
        <w:rPr>
          <w:rFonts w:eastAsiaTheme="minorEastAsia"/>
          <w:b/>
          <w:lang w:eastAsia="zh-CN"/>
        </w:rPr>
      </w:pPr>
      <w:r>
        <w:rPr>
          <w:rFonts w:eastAsia="宋体"/>
          <w:b/>
          <w:szCs w:val="20"/>
          <w:lang w:val="en-GB" w:eastAsia="zh-CN"/>
        </w:rPr>
        <w:t xml:space="preserve">Proposal </w:t>
      </w:r>
      <w:r>
        <w:rPr>
          <w:rFonts w:eastAsia="宋体" w:hint="eastAsia"/>
          <w:b/>
          <w:szCs w:val="20"/>
          <w:lang w:val="en-GB" w:eastAsia="zh-CN"/>
        </w:rPr>
        <w:t>5</w:t>
      </w:r>
      <w:r>
        <w:rPr>
          <w:rFonts w:eastAsia="宋体"/>
          <w:b/>
          <w:szCs w:val="20"/>
          <w:lang w:val="en-GB" w:eastAsia="zh-CN"/>
        </w:rPr>
        <w:t>: Send LS to SA2 to check whether the L2 ID for U2U relay discovery is dedicated or not.</w:t>
      </w:r>
    </w:p>
    <w:p>
      <w:pPr>
        <w:pStyle w:val="a0"/>
        <w:rPr>
          <w:rFonts w:eastAsia="宋体"/>
          <w:b/>
          <w:lang w:val="en-GB" w:eastAsia="zh-CN"/>
        </w:rPr>
      </w:pPr>
      <w:r>
        <w:rPr>
          <w:rFonts w:eastAsia="宋体"/>
          <w:b/>
          <w:szCs w:val="20"/>
          <w:lang w:val="en-GB" w:eastAsia="zh-CN"/>
        </w:rPr>
        <w:t xml:space="preserve">Proposal </w:t>
      </w:r>
      <w:r>
        <w:rPr>
          <w:rFonts w:eastAsia="宋体" w:hint="eastAsia"/>
          <w:b/>
          <w:szCs w:val="20"/>
          <w:lang w:val="en-GB" w:eastAsia="zh-CN"/>
        </w:rPr>
        <w:t>6</w:t>
      </w:r>
      <w:r>
        <w:rPr>
          <w:rFonts w:eastAsia="宋体"/>
          <w:b/>
          <w:szCs w:val="20"/>
          <w:lang w:val="en-GB" w:eastAsia="zh-CN"/>
        </w:rPr>
        <w:t>:</w:t>
      </w:r>
      <w:r>
        <w:rPr>
          <w:rFonts w:eastAsia="宋体" w:hint="eastAsia"/>
          <w:b/>
          <w:szCs w:val="20"/>
          <w:lang w:val="en-GB" w:eastAsia="zh-CN"/>
        </w:rPr>
        <w:t xml:space="preserve"> Remote UE can trigger U2U Relay selection when </w:t>
      </w:r>
      <w:r>
        <w:rPr>
          <w:rFonts w:eastAsia="宋体"/>
          <w:b/>
          <w:lang w:val="en-GB" w:eastAsia="zh-CN"/>
        </w:rPr>
        <w:t xml:space="preserve">SL-RSRP/SD-RSRP towards target </w:t>
      </w:r>
      <w:r>
        <w:rPr>
          <w:rFonts w:eastAsia="宋体" w:hint="eastAsia"/>
          <w:b/>
          <w:lang w:val="en-GB" w:eastAsia="zh-CN"/>
        </w:rPr>
        <w:t xml:space="preserve">Remote UE </w:t>
      </w:r>
      <w:r>
        <w:rPr>
          <w:rFonts w:eastAsia="宋体"/>
          <w:b/>
          <w:lang w:val="en-GB" w:eastAsia="zh-CN"/>
        </w:rPr>
        <w:t>is below a threshold</w:t>
      </w:r>
      <w:r>
        <w:rPr>
          <w:rFonts w:eastAsia="宋体" w:hint="eastAsia"/>
          <w:b/>
          <w:lang w:val="en-GB" w:eastAsia="zh-CN"/>
        </w:rPr>
        <w:t>.</w:t>
      </w:r>
    </w:p>
    <w:p>
      <w:pPr>
        <w:pStyle w:val="a0"/>
        <w:rPr>
          <w:rFonts w:eastAsia="宋体"/>
          <w:b/>
          <w:lang w:val="en-GB" w:eastAsia="zh-CN"/>
        </w:rPr>
      </w:pPr>
      <w:r>
        <w:rPr>
          <w:rFonts w:eastAsia="宋体"/>
          <w:b/>
          <w:szCs w:val="20"/>
          <w:lang w:val="en-GB" w:eastAsia="zh-CN"/>
        </w:rPr>
        <w:t xml:space="preserve">Proposal </w:t>
      </w:r>
      <w:r>
        <w:rPr>
          <w:rFonts w:eastAsia="宋体" w:hint="eastAsia"/>
          <w:b/>
          <w:szCs w:val="20"/>
          <w:lang w:val="en-GB" w:eastAsia="zh-CN"/>
        </w:rPr>
        <w:t>7</w:t>
      </w:r>
      <w:r>
        <w:rPr>
          <w:rFonts w:eastAsia="宋体"/>
          <w:b/>
          <w:szCs w:val="20"/>
          <w:lang w:val="en-GB" w:eastAsia="zh-CN"/>
        </w:rPr>
        <w:t>:</w:t>
      </w:r>
      <w:r>
        <w:rPr>
          <w:rFonts w:eastAsia="宋体" w:hint="eastAsia"/>
          <w:b/>
          <w:szCs w:val="20"/>
          <w:lang w:val="en-GB" w:eastAsia="zh-CN"/>
        </w:rPr>
        <w:t xml:space="preserve"> Remote UE can trigger U2U Relay reselection when </w:t>
      </w:r>
      <w:r>
        <w:rPr>
          <w:rFonts w:eastAsia="宋体"/>
          <w:b/>
          <w:lang w:val="en-GB" w:eastAsia="zh-CN"/>
        </w:rPr>
        <w:t xml:space="preserve">SL-RSRP/SD-RSRP towards </w:t>
      </w:r>
      <w:r>
        <w:rPr>
          <w:rFonts w:eastAsia="宋体" w:hint="eastAsia"/>
          <w:b/>
          <w:lang w:val="en-GB" w:eastAsia="zh-CN"/>
        </w:rPr>
        <w:t>R</w:t>
      </w:r>
      <w:r>
        <w:rPr>
          <w:rFonts w:eastAsia="宋体"/>
          <w:b/>
          <w:lang w:val="en-GB" w:eastAsia="zh-CN"/>
        </w:rPr>
        <w:t>e</w:t>
      </w:r>
      <w:r>
        <w:rPr>
          <w:rFonts w:eastAsia="宋体" w:hint="eastAsia"/>
          <w:b/>
          <w:lang w:val="en-GB" w:eastAsia="zh-CN"/>
        </w:rPr>
        <w:t>lay UE</w:t>
      </w:r>
      <w:r>
        <w:rPr>
          <w:rFonts w:eastAsia="宋体"/>
          <w:b/>
          <w:lang w:val="en-GB" w:eastAsia="zh-CN"/>
        </w:rPr>
        <w:t xml:space="preserve"> is below a threshold</w:t>
      </w:r>
      <w:r>
        <w:rPr>
          <w:rFonts w:eastAsia="宋体" w:hint="eastAsia"/>
          <w:b/>
          <w:lang w:val="en-GB" w:eastAsia="zh-CN"/>
        </w:rPr>
        <w:t>.</w:t>
      </w:r>
    </w:p>
    <w:p>
      <w:pPr>
        <w:pStyle w:val="a0"/>
        <w:rPr>
          <w:rFonts w:eastAsia="宋体"/>
          <w:b/>
          <w:szCs w:val="20"/>
          <w:lang w:val="en-GB" w:eastAsia="zh-CN"/>
        </w:rPr>
      </w:pPr>
      <w:r>
        <w:rPr>
          <w:rFonts w:eastAsia="宋体"/>
          <w:b/>
          <w:szCs w:val="20"/>
          <w:lang w:val="en-GB" w:eastAsia="zh-CN"/>
        </w:rPr>
        <w:t xml:space="preserve">Proposal </w:t>
      </w:r>
      <w:r>
        <w:rPr>
          <w:rFonts w:eastAsia="宋体" w:hint="eastAsia"/>
          <w:b/>
          <w:szCs w:val="20"/>
          <w:lang w:val="en-GB" w:eastAsia="zh-CN"/>
        </w:rPr>
        <w:t>8</w:t>
      </w:r>
      <w:r>
        <w:rPr>
          <w:rFonts w:eastAsia="宋体"/>
          <w:b/>
          <w:szCs w:val="20"/>
          <w:lang w:val="en-GB" w:eastAsia="zh-CN"/>
        </w:rPr>
        <w:t>:</w:t>
      </w:r>
      <w:r>
        <w:rPr>
          <w:rFonts w:eastAsia="宋体" w:hint="eastAsia"/>
          <w:b/>
          <w:szCs w:val="20"/>
          <w:lang w:val="en-GB" w:eastAsia="zh-CN"/>
        </w:rPr>
        <w:t xml:space="preserve"> Remote UE use </w:t>
      </w:r>
      <w:r>
        <w:rPr>
          <w:rFonts w:eastAsia="宋体"/>
          <w:b/>
          <w:szCs w:val="20"/>
          <w:lang w:val="en-GB" w:eastAsia="zh-CN"/>
        </w:rPr>
        <w:t>SL-RSRP</w:t>
      </w:r>
      <w:r>
        <w:rPr>
          <w:rFonts w:eastAsia="宋体" w:hint="eastAsia"/>
          <w:b/>
          <w:szCs w:val="20"/>
          <w:lang w:val="en-GB" w:eastAsia="zh-CN"/>
        </w:rPr>
        <w:t xml:space="preserve"> as </w:t>
      </w:r>
      <w:r>
        <w:rPr>
          <w:rFonts w:eastAsia="宋体"/>
          <w:b/>
          <w:szCs w:val="20"/>
          <w:lang w:val="en-GB" w:eastAsia="zh-CN"/>
        </w:rPr>
        <w:t>selection/reselection criteria</w:t>
      </w:r>
      <w:r>
        <w:rPr>
          <w:rFonts w:eastAsia="宋体" w:hint="eastAsia"/>
          <w:b/>
          <w:szCs w:val="20"/>
          <w:lang w:val="en-GB" w:eastAsia="zh-CN"/>
        </w:rPr>
        <w:t xml:space="preserve"> if </w:t>
      </w:r>
      <w:r>
        <w:rPr>
          <w:rFonts w:eastAsia="宋体"/>
          <w:b/>
          <w:szCs w:val="20"/>
          <w:lang w:val="en-GB" w:eastAsia="zh-CN"/>
        </w:rPr>
        <w:t>there is data transmission from Relay UE to Remote UE</w:t>
      </w:r>
      <w:r>
        <w:rPr>
          <w:rFonts w:eastAsia="宋体" w:hint="eastAsia"/>
          <w:b/>
          <w:szCs w:val="20"/>
          <w:lang w:val="en-GB" w:eastAsia="zh-CN"/>
        </w:rPr>
        <w:t xml:space="preserve">. </w:t>
      </w:r>
      <w:r>
        <w:rPr>
          <w:rFonts w:eastAsia="宋体"/>
          <w:b/>
          <w:szCs w:val="20"/>
          <w:lang w:val="en-GB" w:eastAsia="zh-CN"/>
        </w:rPr>
        <w:t>I</w:t>
      </w:r>
      <w:r>
        <w:rPr>
          <w:rFonts w:eastAsia="宋体" w:hint="eastAsia"/>
          <w:b/>
          <w:szCs w:val="20"/>
          <w:lang w:val="en-GB" w:eastAsia="zh-CN"/>
        </w:rPr>
        <w:t xml:space="preserve">n case of no data </w:t>
      </w:r>
      <w:r>
        <w:rPr>
          <w:rFonts w:eastAsia="宋体"/>
          <w:b/>
          <w:szCs w:val="20"/>
          <w:lang w:val="en-GB" w:eastAsia="zh-CN"/>
        </w:rPr>
        <w:t>transmission from Relay UE</w:t>
      </w:r>
      <w:r>
        <w:rPr>
          <w:rFonts w:eastAsia="宋体" w:hint="eastAsia"/>
          <w:b/>
          <w:szCs w:val="20"/>
          <w:lang w:val="en-GB" w:eastAsia="zh-CN"/>
        </w:rPr>
        <w:t xml:space="preserve">, </w:t>
      </w:r>
      <w:r>
        <w:rPr>
          <w:rFonts w:eastAsia="宋体"/>
          <w:b/>
          <w:szCs w:val="20"/>
          <w:lang w:val="en-GB" w:eastAsia="zh-CN"/>
        </w:rPr>
        <w:t xml:space="preserve">it is left to </w:t>
      </w:r>
      <w:r>
        <w:rPr>
          <w:rFonts w:eastAsia="宋体" w:hint="eastAsia"/>
          <w:b/>
          <w:szCs w:val="20"/>
          <w:lang w:val="en-GB" w:eastAsia="zh-CN"/>
        </w:rPr>
        <w:t xml:space="preserve">Remote </w:t>
      </w:r>
      <w:r>
        <w:rPr>
          <w:rFonts w:eastAsia="宋体"/>
          <w:b/>
          <w:szCs w:val="20"/>
          <w:lang w:val="en-GB" w:eastAsia="zh-CN"/>
        </w:rPr>
        <w:t>UE implementation whether to use SL-RSRP or SD-RSRP</w:t>
      </w:r>
      <w:r>
        <w:rPr>
          <w:rFonts w:eastAsia="宋体" w:hint="eastAsia"/>
          <w:b/>
          <w:szCs w:val="20"/>
          <w:lang w:val="en-GB" w:eastAsia="zh-CN"/>
        </w:rPr>
        <w:t>.</w:t>
      </w:r>
    </w:p>
    <w:p>
      <w:pPr>
        <w:pStyle w:val="a0"/>
        <w:rPr>
          <w:rFonts w:eastAsiaTheme="minorEastAsia"/>
          <w:lang w:eastAsia="zh-CN"/>
        </w:rPr>
      </w:pPr>
      <w:r>
        <w:rPr>
          <w:rFonts w:eastAsia="宋体"/>
          <w:b/>
          <w:szCs w:val="20"/>
          <w:lang w:val="en-GB" w:eastAsia="zh-CN"/>
        </w:rPr>
        <w:t xml:space="preserve">Proposal </w:t>
      </w:r>
      <w:r>
        <w:rPr>
          <w:rFonts w:eastAsia="宋体" w:hint="eastAsia"/>
          <w:b/>
          <w:szCs w:val="20"/>
          <w:lang w:val="en-GB" w:eastAsia="zh-CN"/>
        </w:rPr>
        <w:t>9</w:t>
      </w:r>
      <w:r>
        <w:rPr>
          <w:rFonts w:eastAsia="宋体"/>
          <w:b/>
          <w:szCs w:val="20"/>
          <w:lang w:val="en-GB" w:eastAsia="zh-CN"/>
        </w:rPr>
        <w:t>: If multiple suitable candidate</w:t>
      </w:r>
      <w:r>
        <w:rPr>
          <w:rFonts w:eastAsia="宋体" w:hint="eastAsia"/>
          <w:b/>
          <w:szCs w:val="20"/>
          <w:lang w:val="en-GB" w:eastAsia="zh-CN"/>
        </w:rPr>
        <w:t>s</w:t>
      </w:r>
      <w:r>
        <w:rPr>
          <w:rFonts w:eastAsia="宋体"/>
          <w:b/>
          <w:szCs w:val="20"/>
          <w:lang w:val="en-GB" w:eastAsia="zh-CN"/>
        </w:rPr>
        <w:t xml:space="preserve"> U2U Relay UEs which meet all the AS-layer &amp; higher layer criteria are available, it is up to Remote UE implementation to choose one U2U </w:t>
      </w:r>
      <w:r>
        <w:rPr>
          <w:rFonts w:eastAsia="宋体" w:hint="eastAsia"/>
          <w:b/>
          <w:szCs w:val="20"/>
          <w:lang w:val="en-GB" w:eastAsia="zh-CN"/>
        </w:rPr>
        <w:t>R</w:t>
      </w:r>
      <w:r>
        <w:rPr>
          <w:rFonts w:eastAsia="宋体"/>
          <w:b/>
          <w:szCs w:val="20"/>
          <w:lang w:val="en-GB" w:eastAsia="zh-CN"/>
        </w:rPr>
        <w:t>elay UE.</w:t>
      </w:r>
    </w:p>
    <w:p>
      <w:pPr>
        <w:pStyle w:val="1"/>
        <w:jc w:val="both"/>
      </w:pPr>
      <w:r>
        <w:rPr>
          <w:rFonts w:hint="eastAsia"/>
        </w:rPr>
        <w:t>Reference</w:t>
      </w:r>
    </w:p>
    <w:p>
      <w:pPr>
        <w:pStyle w:val="a0"/>
        <w:numPr>
          <w:ilvl w:val="0"/>
          <w:numId w:val="9"/>
        </w:numPr>
        <w:rPr>
          <w:rFonts w:eastAsiaTheme="minorEastAsia"/>
          <w:lang w:eastAsia="zh-CN"/>
        </w:rPr>
      </w:pPr>
      <w:bookmarkStart w:id="10" w:name="_Ref118237729"/>
      <w:bookmarkEnd w:id="9"/>
      <w:r>
        <w:rPr>
          <w:rFonts w:eastAsiaTheme="minorEastAsia" w:hint="eastAsia"/>
          <w:lang w:eastAsia="zh-CN"/>
        </w:rPr>
        <w:t xml:space="preserve">TR 23.700-33  v1.1.0  </w:t>
      </w:r>
      <w:r>
        <w:t>Study on system enhancement for Proximity based Services</w:t>
      </w:r>
      <w:r>
        <w:rPr>
          <w:rFonts w:eastAsiaTheme="minorEastAsia" w:hint="eastAsia"/>
          <w:lang w:eastAsia="zh-CN"/>
        </w:rPr>
        <w:t xml:space="preserve"> 3GPP</w:t>
      </w:r>
      <w:bookmarkEnd w:id="10"/>
    </w:p>
    <w:sectPr>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5</w:t>
    </w:r>
    <w:r>
      <w:rPr>
        <w:rStyle w:val="ae"/>
      </w:rPr>
      <w:fldChar w:fldCharType="end"/>
    </w:r>
  </w:p>
  <w:p>
    <w:pPr>
      <w:pStyle w:val="ac"/>
      <w:tabs>
        <w:tab w:val="left" w:pos="2552"/>
      </w:tabs>
      <w:rPr>
        <w:rFonts w:eastAsia="宋体"/>
        <w:lang w:eastAsia="zh-CN"/>
      </w:rPr>
    </w:pPr>
    <w:r>
      <w:rPr>
        <w:rFonts w:eastAsia="宋体"/>
        <w:lang w:eastAsia="zh-CN"/>
      </w:rPr>
      <w:t>R2-</w:t>
    </w:r>
    <w:r>
      <w:rPr>
        <w:rFonts w:eastAsia="宋体" w:hint="eastAsia"/>
        <w:lang w:eastAsia="zh-CN"/>
      </w:rPr>
      <w:t>2211279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D27365C"/>
    <w:multiLevelType w:val="hybridMultilevel"/>
    <w:tmpl w:val="4E7E8C86"/>
    <w:lvl w:ilvl="0" w:tplc="58E854A0">
      <w:start w:val="1"/>
      <w:numFmt w:val="bullet"/>
      <w:lvlText w:val="–"/>
      <w:lvlJc w:val="left"/>
      <w:pPr>
        <w:tabs>
          <w:tab w:val="num" w:pos="720"/>
        </w:tabs>
        <w:ind w:left="720" w:hanging="360"/>
      </w:pPr>
      <w:rPr>
        <w:rFonts w:ascii="Arial" w:hAnsi="Arial" w:hint="default"/>
      </w:rPr>
    </w:lvl>
    <w:lvl w:ilvl="1" w:tplc="D4345B7A">
      <w:start w:val="1"/>
      <w:numFmt w:val="bullet"/>
      <w:lvlText w:val="–"/>
      <w:lvlJc w:val="left"/>
      <w:pPr>
        <w:tabs>
          <w:tab w:val="num" w:pos="1440"/>
        </w:tabs>
        <w:ind w:left="1440" w:hanging="360"/>
      </w:pPr>
      <w:rPr>
        <w:rFonts w:ascii="Arial" w:hAnsi="Arial" w:hint="default"/>
      </w:rPr>
    </w:lvl>
    <w:lvl w:ilvl="2" w:tplc="D3E0EBE2" w:tentative="1">
      <w:start w:val="1"/>
      <w:numFmt w:val="bullet"/>
      <w:lvlText w:val="–"/>
      <w:lvlJc w:val="left"/>
      <w:pPr>
        <w:tabs>
          <w:tab w:val="num" w:pos="2160"/>
        </w:tabs>
        <w:ind w:left="2160" w:hanging="360"/>
      </w:pPr>
      <w:rPr>
        <w:rFonts w:ascii="Arial" w:hAnsi="Arial" w:hint="default"/>
      </w:rPr>
    </w:lvl>
    <w:lvl w:ilvl="3" w:tplc="D452C71C" w:tentative="1">
      <w:start w:val="1"/>
      <w:numFmt w:val="bullet"/>
      <w:lvlText w:val="–"/>
      <w:lvlJc w:val="left"/>
      <w:pPr>
        <w:tabs>
          <w:tab w:val="num" w:pos="2880"/>
        </w:tabs>
        <w:ind w:left="2880" w:hanging="360"/>
      </w:pPr>
      <w:rPr>
        <w:rFonts w:ascii="Arial" w:hAnsi="Arial" w:hint="default"/>
      </w:rPr>
    </w:lvl>
    <w:lvl w:ilvl="4" w:tplc="2698E2B6" w:tentative="1">
      <w:start w:val="1"/>
      <w:numFmt w:val="bullet"/>
      <w:lvlText w:val="–"/>
      <w:lvlJc w:val="left"/>
      <w:pPr>
        <w:tabs>
          <w:tab w:val="num" w:pos="3600"/>
        </w:tabs>
        <w:ind w:left="3600" w:hanging="360"/>
      </w:pPr>
      <w:rPr>
        <w:rFonts w:ascii="Arial" w:hAnsi="Arial" w:hint="default"/>
      </w:rPr>
    </w:lvl>
    <w:lvl w:ilvl="5" w:tplc="E65C0E68" w:tentative="1">
      <w:start w:val="1"/>
      <w:numFmt w:val="bullet"/>
      <w:lvlText w:val="–"/>
      <w:lvlJc w:val="left"/>
      <w:pPr>
        <w:tabs>
          <w:tab w:val="num" w:pos="4320"/>
        </w:tabs>
        <w:ind w:left="4320" w:hanging="360"/>
      </w:pPr>
      <w:rPr>
        <w:rFonts w:ascii="Arial" w:hAnsi="Arial" w:hint="default"/>
      </w:rPr>
    </w:lvl>
    <w:lvl w:ilvl="6" w:tplc="0E46D2B8" w:tentative="1">
      <w:start w:val="1"/>
      <w:numFmt w:val="bullet"/>
      <w:lvlText w:val="–"/>
      <w:lvlJc w:val="left"/>
      <w:pPr>
        <w:tabs>
          <w:tab w:val="num" w:pos="5040"/>
        </w:tabs>
        <w:ind w:left="5040" w:hanging="360"/>
      </w:pPr>
      <w:rPr>
        <w:rFonts w:ascii="Arial" w:hAnsi="Arial" w:hint="default"/>
      </w:rPr>
    </w:lvl>
    <w:lvl w:ilvl="7" w:tplc="638E93AE" w:tentative="1">
      <w:start w:val="1"/>
      <w:numFmt w:val="bullet"/>
      <w:lvlText w:val="–"/>
      <w:lvlJc w:val="left"/>
      <w:pPr>
        <w:tabs>
          <w:tab w:val="num" w:pos="5760"/>
        </w:tabs>
        <w:ind w:left="5760" w:hanging="360"/>
      </w:pPr>
      <w:rPr>
        <w:rFonts w:ascii="Arial" w:hAnsi="Arial" w:hint="default"/>
      </w:rPr>
    </w:lvl>
    <w:lvl w:ilvl="8" w:tplc="DE0643A0" w:tentative="1">
      <w:start w:val="1"/>
      <w:numFmt w:val="bullet"/>
      <w:lvlText w:val="–"/>
      <w:lvlJc w:val="left"/>
      <w:pPr>
        <w:tabs>
          <w:tab w:val="num" w:pos="6480"/>
        </w:tabs>
        <w:ind w:left="6480" w:hanging="360"/>
      </w:pPr>
      <w:rPr>
        <w:rFonts w:ascii="Arial" w:hAnsi="Arial" w:hint="default"/>
      </w:rPr>
    </w:lvl>
  </w:abstractNum>
  <w:abstractNum w:abstractNumId="2">
    <w:nsid w:val="176B2937"/>
    <w:multiLevelType w:val="hybridMultilevel"/>
    <w:tmpl w:val="D492863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nsid w:val="23F24568"/>
    <w:multiLevelType w:val="hybridMultilevel"/>
    <w:tmpl w:val="D2D487C4"/>
    <w:lvl w:ilvl="0" w:tplc="4B22BA0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2BE06D82"/>
    <w:multiLevelType w:val="hybridMultilevel"/>
    <w:tmpl w:val="DB82B2D8"/>
    <w:lvl w:ilvl="0" w:tplc="92647CBA">
      <w:start w:val="1"/>
      <w:numFmt w:val="bullet"/>
      <w:lvlText w:val="–"/>
      <w:lvlJc w:val="left"/>
      <w:pPr>
        <w:tabs>
          <w:tab w:val="num" w:pos="720"/>
        </w:tabs>
        <w:ind w:left="720" w:hanging="360"/>
      </w:pPr>
      <w:rPr>
        <w:rFonts w:ascii="Arial" w:hAnsi="Arial" w:hint="default"/>
      </w:rPr>
    </w:lvl>
    <w:lvl w:ilvl="1" w:tplc="7EB2184A">
      <w:start w:val="1"/>
      <w:numFmt w:val="bullet"/>
      <w:lvlText w:val="–"/>
      <w:lvlJc w:val="left"/>
      <w:pPr>
        <w:tabs>
          <w:tab w:val="num" w:pos="1440"/>
        </w:tabs>
        <w:ind w:left="1440" w:hanging="360"/>
      </w:pPr>
      <w:rPr>
        <w:rFonts w:ascii="Arial" w:hAnsi="Arial" w:hint="default"/>
      </w:rPr>
    </w:lvl>
    <w:lvl w:ilvl="2" w:tplc="38FC76D8" w:tentative="1">
      <w:start w:val="1"/>
      <w:numFmt w:val="bullet"/>
      <w:lvlText w:val="–"/>
      <w:lvlJc w:val="left"/>
      <w:pPr>
        <w:tabs>
          <w:tab w:val="num" w:pos="2160"/>
        </w:tabs>
        <w:ind w:left="2160" w:hanging="360"/>
      </w:pPr>
      <w:rPr>
        <w:rFonts w:ascii="Arial" w:hAnsi="Arial" w:hint="default"/>
      </w:rPr>
    </w:lvl>
    <w:lvl w:ilvl="3" w:tplc="D6645284" w:tentative="1">
      <w:start w:val="1"/>
      <w:numFmt w:val="bullet"/>
      <w:lvlText w:val="–"/>
      <w:lvlJc w:val="left"/>
      <w:pPr>
        <w:tabs>
          <w:tab w:val="num" w:pos="2880"/>
        </w:tabs>
        <w:ind w:left="2880" w:hanging="360"/>
      </w:pPr>
      <w:rPr>
        <w:rFonts w:ascii="Arial" w:hAnsi="Arial" w:hint="default"/>
      </w:rPr>
    </w:lvl>
    <w:lvl w:ilvl="4" w:tplc="0A5A7194" w:tentative="1">
      <w:start w:val="1"/>
      <w:numFmt w:val="bullet"/>
      <w:lvlText w:val="–"/>
      <w:lvlJc w:val="left"/>
      <w:pPr>
        <w:tabs>
          <w:tab w:val="num" w:pos="3600"/>
        </w:tabs>
        <w:ind w:left="3600" w:hanging="360"/>
      </w:pPr>
      <w:rPr>
        <w:rFonts w:ascii="Arial" w:hAnsi="Arial" w:hint="default"/>
      </w:rPr>
    </w:lvl>
    <w:lvl w:ilvl="5" w:tplc="DDBACF9C" w:tentative="1">
      <w:start w:val="1"/>
      <w:numFmt w:val="bullet"/>
      <w:lvlText w:val="–"/>
      <w:lvlJc w:val="left"/>
      <w:pPr>
        <w:tabs>
          <w:tab w:val="num" w:pos="4320"/>
        </w:tabs>
        <w:ind w:left="4320" w:hanging="360"/>
      </w:pPr>
      <w:rPr>
        <w:rFonts w:ascii="Arial" w:hAnsi="Arial" w:hint="default"/>
      </w:rPr>
    </w:lvl>
    <w:lvl w:ilvl="6" w:tplc="1A98906A" w:tentative="1">
      <w:start w:val="1"/>
      <w:numFmt w:val="bullet"/>
      <w:lvlText w:val="–"/>
      <w:lvlJc w:val="left"/>
      <w:pPr>
        <w:tabs>
          <w:tab w:val="num" w:pos="5040"/>
        </w:tabs>
        <w:ind w:left="5040" w:hanging="360"/>
      </w:pPr>
      <w:rPr>
        <w:rFonts w:ascii="Arial" w:hAnsi="Arial" w:hint="default"/>
      </w:rPr>
    </w:lvl>
    <w:lvl w:ilvl="7" w:tplc="C46AC7D8" w:tentative="1">
      <w:start w:val="1"/>
      <w:numFmt w:val="bullet"/>
      <w:lvlText w:val="–"/>
      <w:lvlJc w:val="left"/>
      <w:pPr>
        <w:tabs>
          <w:tab w:val="num" w:pos="5760"/>
        </w:tabs>
        <w:ind w:left="5760" w:hanging="360"/>
      </w:pPr>
      <w:rPr>
        <w:rFonts w:ascii="Arial" w:hAnsi="Arial" w:hint="default"/>
      </w:rPr>
    </w:lvl>
    <w:lvl w:ilvl="8" w:tplc="394C9164" w:tentative="1">
      <w:start w:val="1"/>
      <w:numFmt w:val="bullet"/>
      <w:lvlText w:val="–"/>
      <w:lvlJc w:val="left"/>
      <w:pPr>
        <w:tabs>
          <w:tab w:val="num" w:pos="6480"/>
        </w:tabs>
        <w:ind w:left="6480" w:hanging="360"/>
      </w:pPr>
      <w:rPr>
        <w:rFonts w:ascii="Arial" w:hAnsi="Arial" w:hint="default"/>
      </w:rPr>
    </w:lvl>
  </w:abstractNum>
  <w:abstractNum w:abstractNumId="6">
    <w:nsid w:val="311941C5"/>
    <w:multiLevelType w:val="hybridMultilevel"/>
    <w:tmpl w:val="E40EAC46"/>
    <w:lvl w:ilvl="0" w:tplc="C2EA0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56812F7"/>
    <w:multiLevelType w:val="hybridMultilevel"/>
    <w:tmpl w:val="786A17E8"/>
    <w:lvl w:ilvl="0" w:tplc="04090009">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8">
    <w:nsid w:val="358F68DD"/>
    <w:multiLevelType w:val="hybridMultilevel"/>
    <w:tmpl w:val="53AC7FC6"/>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D496CB5"/>
    <w:multiLevelType w:val="hybridMultilevel"/>
    <w:tmpl w:val="5BB0F3DE"/>
    <w:lvl w:ilvl="0" w:tplc="125CD72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4996BC6"/>
    <w:multiLevelType w:val="hybridMultilevel"/>
    <w:tmpl w:val="BA8051DE"/>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5B672DC"/>
    <w:multiLevelType w:val="hybridMultilevel"/>
    <w:tmpl w:val="5BBA4B88"/>
    <w:lvl w:ilvl="0" w:tplc="1DFA41C4">
      <w:start w:val="1"/>
      <w:numFmt w:val="bullet"/>
      <w:lvlText w:val="–"/>
      <w:lvlJc w:val="left"/>
      <w:pPr>
        <w:tabs>
          <w:tab w:val="num" w:pos="720"/>
        </w:tabs>
        <w:ind w:left="720" w:hanging="360"/>
      </w:pPr>
      <w:rPr>
        <w:rFonts w:ascii="Arial" w:hAnsi="Arial" w:hint="default"/>
      </w:rPr>
    </w:lvl>
    <w:lvl w:ilvl="1" w:tplc="70EC7180">
      <w:start w:val="1"/>
      <w:numFmt w:val="bullet"/>
      <w:lvlText w:val="–"/>
      <w:lvlJc w:val="left"/>
      <w:pPr>
        <w:tabs>
          <w:tab w:val="num" w:pos="1440"/>
        </w:tabs>
        <w:ind w:left="1440" w:hanging="360"/>
      </w:pPr>
      <w:rPr>
        <w:rFonts w:ascii="Arial" w:hAnsi="Arial" w:hint="default"/>
      </w:rPr>
    </w:lvl>
    <w:lvl w:ilvl="2" w:tplc="D9C87CB4" w:tentative="1">
      <w:start w:val="1"/>
      <w:numFmt w:val="bullet"/>
      <w:lvlText w:val="–"/>
      <w:lvlJc w:val="left"/>
      <w:pPr>
        <w:tabs>
          <w:tab w:val="num" w:pos="2160"/>
        </w:tabs>
        <w:ind w:left="2160" w:hanging="360"/>
      </w:pPr>
      <w:rPr>
        <w:rFonts w:ascii="Arial" w:hAnsi="Arial" w:hint="default"/>
      </w:rPr>
    </w:lvl>
    <w:lvl w:ilvl="3" w:tplc="91609658" w:tentative="1">
      <w:start w:val="1"/>
      <w:numFmt w:val="bullet"/>
      <w:lvlText w:val="–"/>
      <w:lvlJc w:val="left"/>
      <w:pPr>
        <w:tabs>
          <w:tab w:val="num" w:pos="2880"/>
        </w:tabs>
        <w:ind w:left="2880" w:hanging="360"/>
      </w:pPr>
      <w:rPr>
        <w:rFonts w:ascii="Arial" w:hAnsi="Arial" w:hint="default"/>
      </w:rPr>
    </w:lvl>
    <w:lvl w:ilvl="4" w:tplc="2C10AF46" w:tentative="1">
      <w:start w:val="1"/>
      <w:numFmt w:val="bullet"/>
      <w:lvlText w:val="–"/>
      <w:lvlJc w:val="left"/>
      <w:pPr>
        <w:tabs>
          <w:tab w:val="num" w:pos="3600"/>
        </w:tabs>
        <w:ind w:left="3600" w:hanging="360"/>
      </w:pPr>
      <w:rPr>
        <w:rFonts w:ascii="Arial" w:hAnsi="Arial" w:hint="default"/>
      </w:rPr>
    </w:lvl>
    <w:lvl w:ilvl="5" w:tplc="832CA9F2" w:tentative="1">
      <w:start w:val="1"/>
      <w:numFmt w:val="bullet"/>
      <w:lvlText w:val="–"/>
      <w:lvlJc w:val="left"/>
      <w:pPr>
        <w:tabs>
          <w:tab w:val="num" w:pos="4320"/>
        </w:tabs>
        <w:ind w:left="4320" w:hanging="360"/>
      </w:pPr>
      <w:rPr>
        <w:rFonts w:ascii="Arial" w:hAnsi="Arial" w:hint="default"/>
      </w:rPr>
    </w:lvl>
    <w:lvl w:ilvl="6" w:tplc="49825682" w:tentative="1">
      <w:start w:val="1"/>
      <w:numFmt w:val="bullet"/>
      <w:lvlText w:val="–"/>
      <w:lvlJc w:val="left"/>
      <w:pPr>
        <w:tabs>
          <w:tab w:val="num" w:pos="5040"/>
        </w:tabs>
        <w:ind w:left="5040" w:hanging="360"/>
      </w:pPr>
      <w:rPr>
        <w:rFonts w:ascii="Arial" w:hAnsi="Arial" w:hint="default"/>
      </w:rPr>
    </w:lvl>
    <w:lvl w:ilvl="7" w:tplc="43769998" w:tentative="1">
      <w:start w:val="1"/>
      <w:numFmt w:val="bullet"/>
      <w:lvlText w:val="–"/>
      <w:lvlJc w:val="left"/>
      <w:pPr>
        <w:tabs>
          <w:tab w:val="num" w:pos="5760"/>
        </w:tabs>
        <w:ind w:left="5760" w:hanging="360"/>
      </w:pPr>
      <w:rPr>
        <w:rFonts w:ascii="Arial" w:hAnsi="Arial" w:hint="default"/>
      </w:rPr>
    </w:lvl>
    <w:lvl w:ilvl="8" w:tplc="F3361976" w:tentative="1">
      <w:start w:val="1"/>
      <w:numFmt w:val="bullet"/>
      <w:lvlText w:val="–"/>
      <w:lvlJc w:val="left"/>
      <w:pPr>
        <w:tabs>
          <w:tab w:val="num" w:pos="6480"/>
        </w:tabs>
        <w:ind w:left="6480" w:hanging="360"/>
      </w:pPr>
      <w:rPr>
        <w:rFonts w:ascii="Arial" w:hAnsi="Arial" w:hint="default"/>
      </w:rPr>
    </w:lvl>
  </w:abstractNum>
  <w:abstractNum w:abstractNumId="17">
    <w:nsid w:val="5C8C27AD"/>
    <w:multiLevelType w:val="hybridMultilevel"/>
    <w:tmpl w:val="9DECDA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3718CD"/>
    <w:multiLevelType w:val="hybridMultilevel"/>
    <w:tmpl w:val="29E23CB6"/>
    <w:lvl w:ilvl="0" w:tplc="4B22BA0C">
      <w:start w:val="1"/>
      <w:numFmt w:val="bullet"/>
      <w:lvlText w:val="-"/>
      <w:lvlJc w:val="left"/>
      <w:pPr>
        <w:ind w:left="478" w:hanging="420"/>
      </w:pPr>
      <w:rPr>
        <w:rFonts w:ascii="Arial" w:hAnsi="Arial"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0">
    <w:nsid w:val="6EEA4662"/>
    <w:multiLevelType w:val="hybridMultilevel"/>
    <w:tmpl w:val="BF04B5AC"/>
    <w:lvl w:ilvl="0" w:tplc="125CD726">
      <w:start w:val="1"/>
      <w:numFmt w:val="bullet"/>
      <w:lvlText w:val=""/>
      <w:lvlJc w:val="left"/>
      <w:pPr>
        <w:ind w:left="478" w:hanging="420"/>
      </w:pPr>
      <w:rPr>
        <w:rFonts w:ascii="Wingdings" w:hAnsi="Wingdings"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3">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1"/>
  </w:num>
  <w:num w:numId="3">
    <w:abstractNumId w:val="13"/>
  </w:num>
  <w:num w:numId="4">
    <w:abstractNumId w:val="9"/>
  </w:num>
  <w:num w:numId="5">
    <w:abstractNumId w:val="24"/>
  </w:num>
  <w:num w:numId="6">
    <w:abstractNumId w:val="18"/>
  </w:num>
  <w:num w:numId="7">
    <w:abstractNumId w:val="22"/>
  </w:num>
  <w:num w:numId="8">
    <w:abstractNumId w:val="15"/>
  </w:num>
  <w:num w:numId="9">
    <w:abstractNumId w:val="11"/>
  </w:num>
  <w:num w:numId="10">
    <w:abstractNumId w:val="3"/>
  </w:num>
  <w:num w:numId="11">
    <w:abstractNumId w:val="12"/>
  </w:num>
  <w:num w:numId="12">
    <w:abstractNumId w:val="10"/>
  </w:num>
  <w:num w:numId="13">
    <w:abstractNumId w:val="6"/>
  </w:num>
  <w:num w:numId="14">
    <w:abstractNumId w:val="7"/>
  </w:num>
  <w:num w:numId="15">
    <w:abstractNumId w:val="17"/>
  </w:num>
  <w:num w:numId="16">
    <w:abstractNumId w:val="19"/>
  </w:num>
  <w:num w:numId="17">
    <w:abstractNumId w:val="20"/>
  </w:num>
  <w:num w:numId="18">
    <w:abstractNumId w:val="16"/>
  </w:num>
  <w:num w:numId="19">
    <w:abstractNumId w:val="14"/>
  </w:num>
  <w:num w:numId="20">
    <w:abstractNumId w:val="5"/>
  </w:num>
  <w:num w:numId="21">
    <w:abstractNumId w:val="1"/>
  </w:num>
  <w:num w:numId="22">
    <w:abstractNumId w:val="23"/>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3"/>
  </w:num>
  <w:num w:numId="25">
    <w:abstractNumId w:val="23"/>
  </w:num>
  <w:num w:numId="26">
    <w:abstractNumId w:val="23"/>
  </w:num>
  <w:num w:numId="27">
    <w:abstractNumId w:val="23"/>
  </w:num>
  <w:num w:numId="28">
    <w:abstractNumId w:val="23"/>
  </w:num>
  <w:num w:numId="29">
    <w:abstractNumId w:val="23"/>
  </w:num>
  <w:num w:numId="30">
    <w:abstractNumId w:val="23"/>
  </w:num>
  <w:num w:numId="31">
    <w:abstractNumId w:val="23"/>
  </w:num>
  <w:num w:numId="32">
    <w:abstractNumId w:val="23"/>
    <w:lvlOverride w:ilvl="0">
      <w:startOverride w:val="8"/>
    </w:lvlOverride>
  </w:num>
  <w:num w:numId="33">
    <w:abstractNumId w:val="8"/>
  </w:num>
  <w:num w:numId="34">
    <w:abstractNumId w:val="2"/>
  </w:num>
  <w:num w:numId="3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qFormat/>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customStyle="1" w:styleId="Observation">
    <w:name w:val="Observation"/>
    <w:basedOn w:val="Proposal"/>
    <w:link w:val="Observation0"/>
    <w:qFormat/>
    <w:pPr>
      <w:numPr>
        <w:numId w:val="19"/>
      </w:numPr>
      <w:tabs>
        <w:tab w:val="left" w:pos="1304"/>
      </w:tabs>
      <w:spacing w:line="259" w:lineRule="auto"/>
      <w:ind w:left="1701" w:hanging="1701"/>
    </w:pPr>
    <w:rPr>
      <w:rFonts w:eastAsia="宋体"/>
      <w:lang w:eastAsia="ja-JP"/>
    </w:rPr>
  </w:style>
  <w:style w:type="character" w:customStyle="1" w:styleId="Observation0">
    <w:name w:val="Observation (文字)"/>
    <w:link w:val="Observation"/>
    <w:qFormat/>
    <w:rPr>
      <w:rFonts w:ascii="Arial" w:hAnsi="Arial"/>
      <w:b/>
      <w:bCs/>
      <w:lang w:val="en-GB" w:eastAsia="ja-JP"/>
    </w:rPr>
  </w:style>
  <w:style w:type="character" w:customStyle="1" w:styleId="3Char">
    <w:name w:val="标题 3 Char"/>
    <w:link w:val="3"/>
    <w:qFormat/>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qFormat/>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customStyle="1" w:styleId="Observation">
    <w:name w:val="Observation"/>
    <w:basedOn w:val="Proposal"/>
    <w:link w:val="Observation0"/>
    <w:qFormat/>
    <w:pPr>
      <w:numPr>
        <w:numId w:val="19"/>
      </w:numPr>
      <w:tabs>
        <w:tab w:val="left" w:pos="1304"/>
      </w:tabs>
      <w:spacing w:line="259" w:lineRule="auto"/>
      <w:ind w:left="1701" w:hanging="1701"/>
    </w:pPr>
    <w:rPr>
      <w:rFonts w:eastAsia="宋体"/>
      <w:lang w:eastAsia="ja-JP"/>
    </w:rPr>
  </w:style>
  <w:style w:type="character" w:customStyle="1" w:styleId="Observation0">
    <w:name w:val="Observation (文字)"/>
    <w:link w:val="Observation"/>
    <w:qFormat/>
    <w:rPr>
      <w:rFonts w:ascii="Arial" w:hAnsi="Arial"/>
      <w:b/>
      <w:bCs/>
      <w:lang w:val="en-GB" w:eastAsia="ja-JP"/>
    </w:rPr>
  </w:style>
  <w:style w:type="character" w:customStyle="1" w:styleId="3Char">
    <w:name w:val="标题 3 Char"/>
    <w:link w:val="3"/>
    <w:qFormat/>
    <w:rPr>
      <w:rFonts w:ascii="Arial" w:eastAsia="MS Mincho"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4598896">
      <w:bodyDiv w:val="1"/>
      <w:marLeft w:val="0"/>
      <w:marRight w:val="0"/>
      <w:marTop w:val="0"/>
      <w:marBottom w:val="0"/>
      <w:divBdr>
        <w:top w:val="none" w:sz="0" w:space="0" w:color="auto"/>
        <w:left w:val="none" w:sz="0" w:space="0" w:color="auto"/>
        <w:bottom w:val="none" w:sz="0" w:space="0" w:color="auto"/>
        <w:right w:val="none" w:sz="0" w:space="0" w:color="auto"/>
      </w:divBdr>
      <w:divsChild>
        <w:div w:id="109397184">
          <w:marLeft w:val="1166"/>
          <w:marRight w:val="0"/>
          <w:marTop w:val="115"/>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9101659">
      <w:bodyDiv w:val="1"/>
      <w:marLeft w:val="0"/>
      <w:marRight w:val="0"/>
      <w:marTop w:val="0"/>
      <w:marBottom w:val="0"/>
      <w:divBdr>
        <w:top w:val="none" w:sz="0" w:space="0" w:color="auto"/>
        <w:left w:val="none" w:sz="0" w:space="0" w:color="auto"/>
        <w:bottom w:val="none" w:sz="0" w:space="0" w:color="auto"/>
        <w:right w:val="none" w:sz="0" w:space="0" w:color="auto"/>
      </w:divBdr>
      <w:divsChild>
        <w:div w:id="1365137046">
          <w:marLeft w:val="1166"/>
          <w:marRight w:val="0"/>
          <w:marTop w:val="125"/>
          <w:marBottom w:val="0"/>
          <w:divBdr>
            <w:top w:val="none" w:sz="0" w:space="0" w:color="auto"/>
            <w:left w:val="none" w:sz="0" w:space="0" w:color="auto"/>
            <w:bottom w:val="none" w:sz="0" w:space="0" w:color="auto"/>
            <w:right w:val="none" w:sz="0" w:space="0" w:color="auto"/>
          </w:divBdr>
        </w:div>
        <w:div w:id="950745523">
          <w:marLeft w:val="1166"/>
          <w:marRight w:val="0"/>
          <w:marTop w:val="125"/>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4641561">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5630399">
      <w:bodyDiv w:val="1"/>
      <w:marLeft w:val="0"/>
      <w:marRight w:val="0"/>
      <w:marTop w:val="0"/>
      <w:marBottom w:val="0"/>
      <w:divBdr>
        <w:top w:val="none" w:sz="0" w:space="0" w:color="auto"/>
        <w:left w:val="none" w:sz="0" w:space="0" w:color="auto"/>
        <w:bottom w:val="none" w:sz="0" w:space="0" w:color="auto"/>
        <w:right w:val="none" w:sz="0" w:space="0" w:color="auto"/>
      </w:divBdr>
      <w:divsChild>
        <w:div w:id="1047606511">
          <w:marLeft w:val="1166"/>
          <w:marRight w:val="0"/>
          <w:marTop w:val="96"/>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04459177">
      <w:bodyDiv w:val="1"/>
      <w:marLeft w:val="0"/>
      <w:marRight w:val="0"/>
      <w:marTop w:val="0"/>
      <w:marBottom w:val="0"/>
      <w:divBdr>
        <w:top w:val="none" w:sz="0" w:space="0" w:color="auto"/>
        <w:left w:val="none" w:sz="0" w:space="0" w:color="auto"/>
        <w:bottom w:val="none" w:sz="0" w:space="0" w:color="auto"/>
        <w:right w:val="none" w:sz="0" w:space="0" w:color="auto"/>
      </w:divBdr>
      <w:divsChild>
        <w:div w:id="1346862676">
          <w:marLeft w:val="1166"/>
          <w:marRight w:val="0"/>
          <w:marTop w:val="72"/>
          <w:marBottom w:val="0"/>
          <w:divBdr>
            <w:top w:val="none" w:sz="0" w:space="0" w:color="auto"/>
            <w:left w:val="none" w:sz="0" w:space="0" w:color="auto"/>
            <w:bottom w:val="none" w:sz="0" w:space="0" w:color="auto"/>
            <w:right w:val="none" w:sz="0" w:space="0" w:color="auto"/>
          </w:divBdr>
        </w:div>
        <w:div w:id="1483085450">
          <w:marLeft w:val="1800"/>
          <w:marRight w:val="0"/>
          <w:marTop w:val="62"/>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1FC0E-E4DF-4405-8153-421995DD7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6</Pages>
  <Words>2017</Words>
  <Characters>11502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35</cp:revision>
  <cp:lastPrinted>2007-08-28T14:45:00Z</cp:lastPrinted>
  <dcterms:created xsi:type="dcterms:W3CDTF">2022-11-02T14:42:00Z</dcterms:created>
  <dcterms:modified xsi:type="dcterms:W3CDTF">2022-11-04T06:24:00Z</dcterms:modified>
</cp:coreProperties>
</file>